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43" w:rsidRDefault="005D6C4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C43">
        <w:rPr>
          <w:rFonts w:ascii="Times New Roman" w:hAnsi="Times New Roman" w:cs="Times New Roman"/>
        </w:rPr>
        <w:t>к распоряжению администрации</w:t>
      </w: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C43">
        <w:rPr>
          <w:rFonts w:ascii="Times New Roman" w:hAnsi="Times New Roman" w:cs="Times New Roman"/>
        </w:rPr>
        <w:t xml:space="preserve"> Никольского сельского поселения</w:t>
      </w: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C43"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C43">
        <w:rPr>
          <w:rFonts w:ascii="Times New Roman" w:hAnsi="Times New Roman" w:cs="Times New Roman"/>
        </w:rPr>
        <w:t xml:space="preserve"> Воронежской области</w:t>
      </w:r>
    </w:p>
    <w:p w:rsidR="005D6C43" w:rsidRPr="005D6C43" w:rsidRDefault="005D6C43" w:rsidP="005D6C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6C43">
        <w:rPr>
          <w:rFonts w:ascii="Times New Roman" w:hAnsi="Times New Roman" w:cs="Times New Roman"/>
        </w:rPr>
        <w:t xml:space="preserve"> от 23.12.2016 № 55-р</w:t>
      </w: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D6C43" w:rsidRPr="00ED1AE5" w:rsidRDefault="005D6C4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5D6C43">
        <w:rPr>
          <w:rFonts w:ascii="Times New Roman" w:hAnsi="Times New Roman" w:cs="Times New Roman"/>
          <w:b/>
        </w:rPr>
        <w:t>Утверждение и выдача схем расположения земельных участков на кадастровом плане территории</w:t>
      </w:r>
      <w:r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4E3DF7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4E3DF7">
              <w:rPr>
                <w:rFonts w:ascii="Times New Roman" w:hAnsi="Times New Roman" w:cs="Times New Roman"/>
              </w:rPr>
              <w:t>Никольского сельского поселения Бобровского муниципального района В</w:t>
            </w:r>
            <w:r w:rsidR="004E3DF7">
              <w:rPr>
                <w:rFonts w:ascii="Times New Roman" w:hAnsi="Times New Roman" w:cs="Times New Roman"/>
              </w:rPr>
              <w:t>о</w:t>
            </w:r>
            <w:r w:rsidR="004E3DF7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1AE5" w:rsidRDefault="004E3DF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3640100010000834325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4E3DF7" w:rsidRPr="004E3DF7" w:rsidRDefault="004E3DF7" w:rsidP="004E3DF7">
            <w:pPr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4E3DF7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4E3DF7">
              <w:rPr>
                <w:rFonts w:ascii="Times New Roman" w:hAnsi="Times New Roman" w:cs="Times New Roman"/>
              </w:rPr>
              <w:t>ь</w:t>
            </w:r>
            <w:r w:rsidRPr="004E3DF7">
              <w:rPr>
                <w:rFonts w:ascii="Times New Roman" w:hAnsi="Times New Roman" w:cs="Times New Roman"/>
              </w:rPr>
              <w:t xml:space="preserve">ного района Воронежской области от 16.12.2015 № </w:t>
            </w:r>
            <w:r>
              <w:rPr>
                <w:rFonts w:ascii="Times New Roman" w:hAnsi="Times New Roman" w:cs="Times New Roman"/>
              </w:rPr>
              <w:t>71</w:t>
            </w:r>
            <w:r w:rsidRPr="004E3DF7">
              <w:rPr>
                <w:rFonts w:ascii="Times New Roman" w:hAnsi="Times New Roman" w:cs="Times New Roman"/>
              </w:rPr>
              <w:t xml:space="preserve">  «Об утверждении административного</w:t>
            </w:r>
          </w:p>
          <w:p w:rsidR="004E3DF7" w:rsidRPr="004E3DF7" w:rsidRDefault="004E3DF7" w:rsidP="004E3DF7">
            <w:pPr>
              <w:ind w:left="-102" w:right="-102"/>
              <w:rPr>
                <w:rFonts w:ascii="Times New Roman" w:hAnsi="Times New Roman" w:cs="Times New Roman"/>
              </w:rPr>
            </w:pPr>
            <w:r w:rsidRPr="004E3DF7">
              <w:rPr>
                <w:rFonts w:ascii="Times New Roman" w:hAnsi="Times New Roman" w:cs="Times New Roman"/>
              </w:rPr>
              <w:t>регламента по предоставлению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DF7">
              <w:rPr>
                <w:rFonts w:ascii="Times New Roman" w:hAnsi="Times New Roman" w:cs="Times New Roman"/>
              </w:rPr>
              <w:t>муниципальной услуги: «Утверждение и выдача схем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DF7">
              <w:rPr>
                <w:rFonts w:ascii="Times New Roman" w:hAnsi="Times New Roman" w:cs="Times New Roman"/>
              </w:rPr>
              <w:t>расп</w:t>
            </w:r>
            <w:r w:rsidRPr="004E3DF7">
              <w:rPr>
                <w:rFonts w:ascii="Times New Roman" w:hAnsi="Times New Roman" w:cs="Times New Roman"/>
              </w:rPr>
              <w:t>о</w:t>
            </w:r>
            <w:r w:rsidRPr="004E3DF7">
              <w:rPr>
                <w:rFonts w:ascii="Times New Roman" w:hAnsi="Times New Roman" w:cs="Times New Roman"/>
              </w:rPr>
              <w:t>ложения земельных участков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DF7">
              <w:rPr>
                <w:rFonts w:ascii="Times New Roman" w:hAnsi="Times New Roman" w:cs="Times New Roman"/>
              </w:rPr>
              <w:t>на кадастровом плане территории»</w:t>
            </w:r>
            <w:r>
              <w:rPr>
                <w:rFonts w:ascii="Times New Roman" w:hAnsi="Times New Roman" w:cs="Times New Roman"/>
              </w:rPr>
              <w:t>» (в ред. от 21.06.2016 № 64</w:t>
            </w:r>
            <w:r w:rsidRPr="004E3DF7">
              <w:rPr>
                <w:rFonts w:ascii="Times New Roman" w:hAnsi="Times New Roman" w:cs="Times New Roman"/>
              </w:rPr>
              <w:t>)</w:t>
            </w:r>
          </w:p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ED1AE5" w:rsidRDefault="004E3DF7" w:rsidP="004E3DF7">
            <w:pPr>
              <w:ind w:left="-108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lastRenderedPageBreak/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ствие схемы расположения земельного участка ее фо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стоположением земельного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участка, образ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емого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ранее принятым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участка, срок действия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го участка с нарушением </w:t>
            </w:r>
            <w:r w:rsidR="008A1BCF" w:rsidRPr="00ED1AE5">
              <w:rPr>
                <w:rFonts w:ascii="Times New Roman" w:hAnsi="Times New Roman" w:cs="Times New Roman"/>
              </w:rPr>
              <w:t>требований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утвержденному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вание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участка с нар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шением требов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ний Земельного кодекса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в 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цах территории, для которой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не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новлено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или ра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решенное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ED1AE5">
              <w:rPr>
                <w:rFonts w:ascii="Times New Roman" w:hAnsi="Times New Roman" w:cs="Times New Roman"/>
              </w:rPr>
              <w:t>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 xml:space="preserve">- на земельном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lastRenderedPageBreak/>
              <w:t>ственной или муниципальной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участком;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жденными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ториального пл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нирования и (или) документ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по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ровке территории предназначен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земельного участка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поступ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ло заявление о предварительном согласовании его предоставления или заявление о предоставлении земельного участка, за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ключением 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чаев, если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то решение об отказе в предв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рительном согл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совании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такого земельного участка или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 об отказе в его предоставл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сток является земельным участком общего пользования или расположен в границах земель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ED1AE5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ED1AE5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ждении ранее </w:t>
            </w:r>
            <w:r w:rsidRPr="00ED1AE5">
              <w:rPr>
                <w:rFonts w:ascii="Times New Roman" w:hAnsi="Times New Roman" w:cs="Times New Roman"/>
              </w:rPr>
              <w:lastRenderedPageBreak/>
              <w:t>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ED1AE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ющее от имени заявителя на 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ствующей на момент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ращения (при этом нео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 xml:space="preserve">пляров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мразвития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</w:t>
            </w:r>
            <w:proofErr w:type="spellEnd"/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естре прав на недв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жимое имущество и сделок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сток, приписок, зачеркн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тых слов и других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участков,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C5898"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8C5898" w:rsidRPr="00ED1AE5">
              <w:rPr>
                <w:rFonts w:ascii="Times New Roman" w:hAnsi="Times New Roman" w:cs="Times New Roman"/>
                <w:b/>
              </w:rPr>
              <w:t>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участка или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ровая выписка о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мельном участке (в случае раздела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участка, который находится в муниципальной со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ственности (госуда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ственная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ность на который не разграничена)  и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 на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ве постоянного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аренды или бе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возмездного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явл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«по</w:t>
            </w:r>
            <w:r w:rsidR="008C5898" w:rsidRPr="00ED1AE5">
              <w:rPr>
                <w:rFonts w:ascii="Times New Roman" w:hAnsi="Times New Roman" w:cs="Times New Roman"/>
                <w:b/>
              </w:rPr>
              <w:t>д</w:t>
            </w:r>
            <w:r w:rsidR="008C5898" w:rsidRPr="00ED1AE5">
              <w:rPr>
                <w:rFonts w:ascii="Times New Roman" w:hAnsi="Times New Roman" w:cs="Times New Roman"/>
                <w:b/>
              </w:rPr>
              <w:t>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домления об отказе в предоставлении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пред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AC2F49"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2F49"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администрация выдает (направляет) заявителю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 приостановлении предоставления муниципальной услуги - в течение 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рассматривает заявление с прилагаемыми к нему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на комплектность и соответствие требованиям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либо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ления об отказе в предоставлении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 w:cs="Times New Roman"/>
              </w:rPr>
              <w:t>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ственных и муниципальных услуг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 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B2" w:rsidRDefault="00F522B2" w:rsidP="00D328E5">
      <w:pPr>
        <w:spacing w:after="0" w:line="240" w:lineRule="auto"/>
      </w:pPr>
      <w:r>
        <w:separator/>
      </w:r>
    </w:p>
  </w:endnote>
  <w:endnote w:type="continuationSeparator" w:id="0">
    <w:p w:rsidR="00F522B2" w:rsidRDefault="00F522B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B2" w:rsidRDefault="00F522B2" w:rsidP="00D328E5">
      <w:pPr>
        <w:spacing w:after="0" w:line="240" w:lineRule="auto"/>
      </w:pPr>
      <w:r>
        <w:separator/>
      </w:r>
    </w:p>
  </w:footnote>
  <w:footnote w:type="continuationSeparator" w:id="0">
    <w:p w:rsidR="00F522B2" w:rsidRDefault="00F522B2" w:rsidP="00D328E5">
      <w:pPr>
        <w:spacing w:after="0" w:line="240" w:lineRule="auto"/>
      </w:pPr>
      <w:r>
        <w:continuationSeparator/>
      </w:r>
    </w:p>
  </w:footnote>
  <w:footnote w:id="1">
    <w:p w:rsidR="005D6C43" w:rsidRPr="00E752C6" w:rsidRDefault="005D6C43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5D6C43" w:rsidRDefault="005D6C43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5D6C43" w:rsidRDefault="005D6C43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5D6C43" w:rsidRPr="004103F2" w:rsidRDefault="005D6C43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5">
    <w:p w:rsidR="005D6C43" w:rsidRPr="00094FA6" w:rsidRDefault="005D6C4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5D6C43" w:rsidRPr="005257FF" w:rsidRDefault="005D6C4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D6C43" w:rsidRDefault="005D6C4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D6C43" w:rsidRPr="00B03217" w:rsidRDefault="005D6C4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отличаются</w:t>
      </w:r>
    </w:p>
  </w:footnote>
  <w:footnote w:id="9">
    <w:p w:rsidR="005D6C43" w:rsidRDefault="005D6C43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5D6C43" w:rsidRPr="00802F87" w:rsidRDefault="005D6C43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Результат указан для всех </w:t>
      </w:r>
      <w:proofErr w:type="spellStart"/>
      <w:r w:rsidRPr="00731B15">
        <w:rPr>
          <w:rFonts w:ascii="Times New Roman" w:hAnsi="Times New Roman" w:cs="Times New Roman"/>
        </w:rPr>
        <w:t>подуслуг</w:t>
      </w:r>
      <w:proofErr w:type="spellEnd"/>
    </w:p>
  </w:footnote>
  <w:footnote w:id="11">
    <w:p w:rsidR="005D6C43" w:rsidRDefault="005D6C43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5D6C43" w:rsidRPr="00D04EE1" w:rsidRDefault="005D6C43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D04EE1">
        <w:rPr>
          <w:rFonts w:ascii="Times New Roman" w:hAnsi="Times New Roman" w:cs="Times New Roman"/>
        </w:rPr>
        <w:t>подуслуг</w:t>
      </w:r>
      <w:proofErr w:type="spellEnd"/>
      <w:r w:rsidRPr="00D04EE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93DA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3DF7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D6C43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246DC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522B2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15C5-44A1-462B-AF8E-DBA33A3E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3945</TotalTime>
  <Pages>39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70</cp:revision>
  <cp:lastPrinted>2017-01-10T15:17:00Z</cp:lastPrinted>
  <dcterms:created xsi:type="dcterms:W3CDTF">2015-09-01T14:06:00Z</dcterms:created>
  <dcterms:modified xsi:type="dcterms:W3CDTF">2017-01-10T15:18:00Z</dcterms:modified>
</cp:coreProperties>
</file>