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92" w:rsidRDefault="00501692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8</w:t>
      </w:r>
    </w:p>
    <w:p w:rsid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501692" w:rsidRPr="00501692" w:rsidRDefault="00501692" w:rsidP="005016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AD5100" w:rsidRPr="001F1B7A" w:rsidRDefault="00083A57" w:rsidP="00501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8223C" w:rsidRPr="001F1B7A" w:rsidRDefault="0058223C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23C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F1B7A" w:rsidRDefault="00794D17" w:rsidP="001F1B7A">
            <w:pPr>
              <w:rPr>
                <w:rFonts w:ascii="Times New Roman" w:hAnsi="Times New Roman" w:cs="Times New Roman"/>
              </w:rPr>
            </w:pPr>
            <w:r w:rsidRPr="00794D17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F1B7A" w:rsidRDefault="006C50FE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3640100010000834405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58223C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 xml:space="preserve">дящимися в муниципальной собственности 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58223C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 xml:space="preserve">дящимися в муниципальной собственности 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C50FE" w:rsidRPr="006C50FE" w:rsidRDefault="006C50FE" w:rsidP="006C50FE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6C50FE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6C50FE">
              <w:rPr>
                <w:rFonts w:ascii="Times New Roman" w:hAnsi="Times New Roman" w:cs="Times New Roman"/>
              </w:rPr>
              <w:t>и</w:t>
            </w:r>
            <w:r w:rsidRPr="006C50FE">
              <w:rPr>
                <w:rFonts w:ascii="Times New Roman" w:hAnsi="Times New Roman" w:cs="Times New Roman"/>
              </w:rPr>
              <w:t>пального рай</w:t>
            </w:r>
            <w:r>
              <w:rPr>
                <w:rFonts w:ascii="Times New Roman" w:hAnsi="Times New Roman" w:cs="Times New Roman"/>
              </w:rPr>
              <w:t>она Воронежской области от 16</w:t>
            </w:r>
            <w:r w:rsidRPr="006C50FE">
              <w:rPr>
                <w:rFonts w:ascii="Times New Roman" w:hAnsi="Times New Roman" w:cs="Times New Roman"/>
              </w:rPr>
              <w:t xml:space="preserve">.12.2015 № </w:t>
            </w:r>
            <w:r>
              <w:rPr>
                <w:rFonts w:ascii="Times New Roman" w:hAnsi="Times New Roman" w:cs="Times New Roman"/>
              </w:rPr>
              <w:t>74</w:t>
            </w:r>
            <w:r w:rsidRPr="006C50FE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6C50FE">
              <w:rPr>
                <w:rFonts w:ascii="Times New Roman" w:hAnsi="Times New Roman" w:cs="Times New Roman"/>
              </w:rPr>
              <w:t>а</w:t>
            </w:r>
            <w:r w:rsidRPr="006C50FE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«Прекращение права п</w:t>
            </w:r>
            <w:r w:rsidRPr="006C50FE">
              <w:rPr>
                <w:rFonts w:ascii="Times New Roman" w:hAnsi="Times New Roman" w:cs="Times New Roman"/>
              </w:rPr>
              <w:t>о</w:t>
            </w:r>
            <w:r w:rsidRPr="006C50FE">
              <w:rPr>
                <w:rFonts w:ascii="Times New Roman" w:hAnsi="Times New Roman" w:cs="Times New Roman"/>
              </w:rPr>
              <w:t>стоянного (бессрочного) пользования земельными участками, находящимися в муниц</w:t>
            </w:r>
            <w:r w:rsidRPr="006C50FE">
              <w:rPr>
                <w:rFonts w:ascii="Times New Roman" w:hAnsi="Times New Roman" w:cs="Times New Roman"/>
              </w:rPr>
              <w:t>и</w:t>
            </w:r>
            <w:r w:rsidRPr="006C50FE">
              <w:rPr>
                <w:rFonts w:ascii="Times New Roman" w:hAnsi="Times New Roman" w:cs="Times New Roman"/>
              </w:rPr>
              <w:t>пальной собственности»» (в ред. от 21.06</w:t>
            </w:r>
            <w:r w:rsidR="0058223C">
              <w:rPr>
                <w:rFonts w:ascii="Times New Roman" w:hAnsi="Times New Roman" w:cs="Times New Roman"/>
              </w:rPr>
              <w:t>.2016 № 69, от 21.06.2017 № 39</w:t>
            </w:r>
            <w:r w:rsidRPr="006C50FE">
              <w:rPr>
                <w:rFonts w:ascii="Times New Roman" w:hAnsi="Times New Roman" w:cs="Times New Roman"/>
              </w:rPr>
              <w:t>)</w:t>
            </w:r>
          </w:p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F1B7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9F0FCC">
        <w:tc>
          <w:tcPr>
            <w:tcW w:w="14850" w:type="dxa"/>
            <w:gridSpan w:val="11"/>
          </w:tcPr>
          <w:p w:rsidR="00BD28FA" w:rsidRPr="001F1B7A" w:rsidRDefault="00BD28FA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F1B7A">
              <w:rPr>
                <w:rFonts w:ascii="Times New Roman" w:hAnsi="Times New Roman" w:cs="Times New Roman"/>
                <w:b/>
              </w:rPr>
              <w:t>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 xml:space="preserve">пальной собственности 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та регистр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ции пост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пившего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 xml:space="preserve">ной услуги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между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F1B7A">
              <w:rPr>
                <w:rFonts w:ascii="Times New Roman" w:hAnsi="Times New Roman" w:cs="Times New Roman"/>
              </w:rPr>
              <w:t>орган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орт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1F1B7A" w:rsidRDefault="00C95E22" w:rsidP="001F1B7A">
      <w:pPr>
        <w:spacing w:after="0" w:line="240" w:lineRule="auto"/>
        <w:rPr>
          <w:rFonts w:ascii="Times New Roman" w:hAnsi="Times New Roman" w:cs="Times New Roman"/>
        </w:rPr>
      </w:pPr>
    </w:p>
    <w:p w:rsidR="006F2352" w:rsidRPr="001F1B7A" w:rsidRDefault="006F2352" w:rsidP="001F1B7A">
      <w:pPr>
        <w:spacing w:after="0" w:line="240" w:lineRule="auto"/>
        <w:rPr>
          <w:rFonts w:ascii="Times New Roman" w:hAnsi="Times New Roman" w:cs="Times New Roman"/>
        </w:rPr>
      </w:pPr>
    </w:p>
    <w:p w:rsidR="004E7CAF" w:rsidRPr="001F1B7A" w:rsidRDefault="004E7CAF" w:rsidP="001F1B7A">
      <w:pPr>
        <w:spacing w:after="0" w:line="240" w:lineRule="auto"/>
        <w:rPr>
          <w:rFonts w:ascii="Times New Roman" w:hAnsi="Times New Roman" w:cs="Times New Roman"/>
        </w:rPr>
      </w:pPr>
    </w:p>
    <w:p w:rsidR="0070015D" w:rsidRPr="001F1B7A" w:rsidRDefault="0070015D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F1B7A" w:rsidRDefault="00505D72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E7CAF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 xml:space="preserve">писана им самим. Доверенность может быть подписана также иным лицом, действующим по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9051E6" w:rsidRPr="001F1B7A">
              <w:rPr>
                <w:rFonts w:ascii="Times New Roman" w:hAnsi="Times New Roman" w:cs="Times New Roman"/>
              </w:rPr>
              <w:t xml:space="preserve">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F1B7A" w:rsidRDefault="008A60E5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43FFA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ставляемый по условию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здавшего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либо подв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домственных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нам или органам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организаций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 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учреждения «Ф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деральная 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дастровая палата Федеральной службы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lastRenderedPageBreak/>
              <w:t>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F1B7A" w:rsidRDefault="004F2A4B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F2A4B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явл</w:t>
            </w:r>
            <w:r w:rsidRPr="001F1B7A">
              <w:rPr>
                <w:rFonts w:ascii="Times New Roman" w:hAnsi="Times New Roman" w:cs="Times New Roman"/>
                <w:b/>
              </w:rPr>
              <w:t>я</w:t>
            </w:r>
            <w:r w:rsidRPr="001F1B7A">
              <w:rPr>
                <w:rFonts w:ascii="Times New Roman" w:hAnsi="Times New Roman" w:cs="Times New Roman"/>
                <w:b/>
              </w:rPr>
              <w:t>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F1B7A">
              <w:rPr>
                <w:rFonts w:ascii="Times New Roman" w:hAnsi="Times New Roman" w:cs="Times New Roman"/>
                <w:b/>
              </w:rPr>
              <w:t>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участком, находящимся в муниципальной собственн</w:t>
            </w:r>
            <w:r w:rsidRPr="001F1B7A">
              <w:t>о</w:t>
            </w:r>
            <w:r w:rsidRPr="001F1B7A">
              <w:t>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A83585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58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F1B7A">
              <w:rPr>
                <w:rFonts w:ascii="Times New Roman" w:hAnsi="Times New Roman" w:cs="Times New Roman"/>
                <w:b/>
              </w:rPr>
              <w:t>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пальной собственности 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</w:rPr>
              <w:t xml:space="preserve"> 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представленных документов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lastRenderedPageBreak/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по</w:t>
            </w:r>
            <w:r w:rsidRPr="001F1B7A">
              <w:t>з</w:t>
            </w:r>
            <w:r w:rsidRPr="001F1B7A">
              <w:t>воляет однозначно исто</w:t>
            </w:r>
            <w:r w:rsidRPr="001F1B7A">
              <w:t>л</w:t>
            </w:r>
            <w:r w:rsidRPr="001F1B7A">
              <w:t>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прилагаемых документов на соотве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ствие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имодействия в течение 5 рабочих дней направляет межведомственные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lastRenderedPageBreak/>
              <w:t>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ственный </w:t>
            </w:r>
            <w:r>
              <w:rPr>
                <w:rFonts w:ascii="Times New Roman" w:hAnsi="Times New Roman" w:cs="Times New Roman"/>
              </w:rPr>
              <w:t>рассмо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ставлении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для подписания 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участком готовится ув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домление о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lastRenderedPageBreak/>
              <w:t>ном отказе в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направляется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 прекращения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ответствующего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и направляется в семидне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ный срок в адрес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вого органа по месту нахождения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1F1B7A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F1B7A" w:rsidRDefault="00210933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4E7B41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6273CD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ной собственности или государственная собственность на </w:t>
            </w:r>
            <w:proofErr w:type="gramStart"/>
            <w:r w:rsidR="00F86395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F86395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EF7145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223C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</w:t>
      </w:r>
    </w:p>
    <w:p w:rsidR="00536BE2" w:rsidRPr="001F1B7A" w:rsidRDefault="0058223C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1" w:name="_GoBack"/>
      <w:bookmarkEnd w:id="1"/>
      <w:r w:rsidR="00536BE2" w:rsidRPr="001F1B7A">
        <w:rPr>
          <w:rFonts w:ascii="Times New Roman" w:hAnsi="Times New Roman" w:cs="Times New Roman"/>
        </w:rPr>
        <w:t xml:space="preserve">  (не ну</w:t>
      </w:r>
      <w:r w:rsidR="00536BE2" w:rsidRPr="001F1B7A">
        <w:rPr>
          <w:rFonts w:ascii="Times New Roman" w:hAnsi="Times New Roman" w:cs="Times New Roman"/>
        </w:rPr>
        <w:t>ж</w:t>
      </w:r>
      <w:r w:rsidR="00536BE2" w:rsidRPr="001F1B7A">
        <w:rPr>
          <w:rFonts w:ascii="Times New Roman" w:hAnsi="Times New Roman" w:cs="Times New Roman"/>
        </w:rPr>
        <w:t>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EF7145" w:rsidRPr="001F1B7A" w:rsidRDefault="00EF7145" w:rsidP="001F1B7A">
      <w:pPr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br w:type="page"/>
      </w:r>
    </w:p>
    <w:p w:rsidR="00A87EF7" w:rsidRPr="001F1B7A" w:rsidRDefault="00A87EF7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1F1B7A">
        <w:rPr>
          <w:rFonts w:ascii="Times New Roman" w:hAnsi="Times New Roman" w:cs="Times New Roman"/>
        </w:rPr>
        <w:t>по</w:t>
      </w:r>
      <w:proofErr w:type="gramEnd"/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09" w:rsidRDefault="00DD7109" w:rsidP="001F1B7A">
      <w:pPr>
        <w:spacing w:after="0" w:line="240" w:lineRule="auto"/>
      </w:pPr>
      <w:r>
        <w:separator/>
      </w:r>
    </w:p>
  </w:endnote>
  <w:endnote w:type="continuationSeparator" w:id="0">
    <w:p w:rsidR="00DD7109" w:rsidRDefault="00DD7109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09" w:rsidRDefault="00DD7109" w:rsidP="001F1B7A">
      <w:pPr>
        <w:spacing w:after="0" w:line="240" w:lineRule="auto"/>
      </w:pPr>
      <w:r>
        <w:separator/>
      </w:r>
    </w:p>
  </w:footnote>
  <w:footnote w:type="continuationSeparator" w:id="0">
    <w:p w:rsidR="00DD7109" w:rsidRDefault="00DD7109" w:rsidP="001F1B7A">
      <w:pPr>
        <w:spacing w:after="0" w:line="240" w:lineRule="auto"/>
      </w:pPr>
      <w:r>
        <w:continuationSeparator/>
      </w:r>
    </w:p>
  </w:footnote>
  <w:footnote w:id="1">
    <w:p w:rsidR="001F1B7A" w:rsidRPr="001F1B7A" w:rsidRDefault="001F1B7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3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5">
    <w:p w:rsidR="001F1B7A" w:rsidRPr="005257FF" w:rsidRDefault="001F1B7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1F1B7A" w:rsidRDefault="001F1B7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94DC0"/>
    <w:rsid w:val="004D006C"/>
    <w:rsid w:val="004D077D"/>
    <w:rsid w:val="004E7B41"/>
    <w:rsid w:val="004E7CAF"/>
    <w:rsid w:val="004F2A4B"/>
    <w:rsid w:val="004F6CAD"/>
    <w:rsid w:val="00501692"/>
    <w:rsid w:val="00505D72"/>
    <w:rsid w:val="005079CF"/>
    <w:rsid w:val="005345BA"/>
    <w:rsid w:val="00536BE2"/>
    <w:rsid w:val="00572E1A"/>
    <w:rsid w:val="0058223C"/>
    <w:rsid w:val="005A1D24"/>
    <w:rsid w:val="005A5902"/>
    <w:rsid w:val="005B1D04"/>
    <w:rsid w:val="005D65AC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0FE"/>
    <w:rsid w:val="006C552C"/>
    <w:rsid w:val="006C706E"/>
    <w:rsid w:val="006E4E03"/>
    <w:rsid w:val="006F2352"/>
    <w:rsid w:val="0070015D"/>
    <w:rsid w:val="00725A06"/>
    <w:rsid w:val="00726910"/>
    <w:rsid w:val="007276D5"/>
    <w:rsid w:val="00733AA2"/>
    <w:rsid w:val="00750C15"/>
    <w:rsid w:val="007529A1"/>
    <w:rsid w:val="007775FB"/>
    <w:rsid w:val="00794D17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95E22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C4552"/>
    <w:rsid w:val="00DD7109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7145"/>
    <w:rsid w:val="00F33C30"/>
    <w:rsid w:val="00F51B79"/>
    <w:rsid w:val="00F8639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EC1E-72F9-4922-B073-AB2DA33D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18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53</cp:revision>
  <dcterms:created xsi:type="dcterms:W3CDTF">2015-09-01T14:06:00Z</dcterms:created>
  <dcterms:modified xsi:type="dcterms:W3CDTF">2017-12-14T11:21:00Z</dcterms:modified>
</cp:coreProperties>
</file>