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A3D" w:rsidRPr="002B5873" w:rsidRDefault="002B5873" w:rsidP="002B5873">
      <w:pPr>
        <w:widowControl/>
        <w:jc w:val="center"/>
        <w:rPr>
          <w:rFonts w:ascii="Times New Roman" w:eastAsia="Calibri" w:hAnsi="Times New Roman"/>
          <w:b/>
          <w:color w:val="FF0000"/>
          <w:sz w:val="28"/>
          <w:szCs w:val="28"/>
        </w:rPr>
      </w:pPr>
      <w:r w:rsidRPr="002B5873">
        <w:rPr>
          <w:rFonts w:ascii="Times New Roman" w:eastAsia="Calibri" w:hAnsi="Times New Roman"/>
          <w:b/>
          <w:color w:val="FF0000"/>
          <w:sz w:val="28"/>
          <w:szCs w:val="28"/>
        </w:rPr>
        <w:t>(в редакции от 24.12.2021 № 29)</w:t>
      </w:r>
    </w:p>
    <w:p w:rsidR="003A6360" w:rsidRPr="003A6360" w:rsidRDefault="003A6360" w:rsidP="003A6360">
      <w:pPr>
        <w:widowControl/>
        <w:jc w:val="center"/>
        <w:rPr>
          <w:rFonts w:ascii="Times New Roman" w:hAnsi="Times New Roman"/>
          <w:color w:val="auto"/>
          <w:sz w:val="28"/>
          <w:szCs w:val="28"/>
        </w:rPr>
      </w:pPr>
      <w:r w:rsidRPr="003A6360">
        <w:rPr>
          <w:rFonts w:ascii="Times New Roman" w:hAnsi="Times New Roman"/>
          <w:color w:val="auto"/>
          <w:sz w:val="28"/>
          <w:szCs w:val="28"/>
        </w:rPr>
        <w:t>СОВЕТ НАРОДНЫХ ДЕПУТАТОВ НИКОЛЬСКОГО    СЕЛЬСКОГО ПОСЕЛЕНИЯ БОБРОВСКОГО МУНИЦИПАЛЬНОГО РАЙОНА ВОРОНЕЖСКОЙ ОБЛАСТИ</w:t>
      </w:r>
    </w:p>
    <w:p w:rsidR="003A6360" w:rsidRPr="003A6360" w:rsidRDefault="003A6360" w:rsidP="003A6360">
      <w:pPr>
        <w:widowControl/>
        <w:rPr>
          <w:rFonts w:ascii="Times New Roman" w:hAnsi="Times New Roman"/>
          <w:color w:val="auto"/>
          <w:sz w:val="32"/>
          <w:szCs w:val="32"/>
        </w:rPr>
      </w:pPr>
      <w:r w:rsidRPr="003A6360">
        <w:rPr>
          <w:rFonts w:ascii="Times New Roman" w:hAnsi="Times New Roman"/>
          <w:color w:val="auto"/>
          <w:sz w:val="32"/>
          <w:szCs w:val="32"/>
        </w:rPr>
        <w:t xml:space="preserve"> </w:t>
      </w:r>
    </w:p>
    <w:p w:rsidR="003A6360" w:rsidRPr="003A6360" w:rsidRDefault="003A6360" w:rsidP="003A6360">
      <w:pPr>
        <w:keepNext/>
        <w:widowControl/>
        <w:jc w:val="center"/>
        <w:outlineLvl w:val="2"/>
        <w:rPr>
          <w:rFonts w:ascii="Times New Roman" w:hAnsi="Times New Roman"/>
          <w:color w:val="auto"/>
          <w:sz w:val="32"/>
          <w:szCs w:val="32"/>
        </w:rPr>
      </w:pPr>
      <w:proofErr w:type="gramStart"/>
      <w:r w:rsidRPr="003A6360">
        <w:rPr>
          <w:rFonts w:ascii="Times New Roman" w:hAnsi="Times New Roman"/>
          <w:color w:val="auto"/>
          <w:sz w:val="32"/>
          <w:szCs w:val="32"/>
        </w:rPr>
        <w:t>Р</w:t>
      </w:r>
      <w:proofErr w:type="gramEnd"/>
      <w:r w:rsidRPr="003A6360">
        <w:rPr>
          <w:rFonts w:ascii="Times New Roman" w:hAnsi="Times New Roman"/>
          <w:color w:val="auto"/>
          <w:sz w:val="32"/>
          <w:szCs w:val="32"/>
        </w:rPr>
        <w:t xml:space="preserve"> Е Ш Е Н И Е</w:t>
      </w:r>
    </w:p>
    <w:p w:rsidR="003A6360" w:rsidRPr="003A6360" w:rsidRDefault="003A6360" w:rsidP="003A6360">
      <w:pPr>
        <w:widowControl/>
        <w:rPr>
          <w:rFonts w:ascii="Times New Roman" w:hAnsi="Times New Roman"/>
          <w:color w:val="auto"/>
          <w:sz w:val="32"/>
          <w:szCs w:val="32"/>
        </w:rPr>
      </w:pP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u w:val="single"/>
        </w:rPr>
        <w:t>от   15.10.2021  года</w:t>
      </w:r>
      <w:r w:rsidRPr="003A6360">
        <w:rPr>
          <w:rFonts w:ascii="Times New Roman" w:hAnsi="Times New Roman"/>
          <w:color w:val="auto"/>
          <w:sz w:val="28"/>
          <w:szCs w:val="28"/>
        </w:rPr>
        <w:t xml:space="preserve">                               № </w:t>
      </w:r>
      <w:r>
        <w:rPr>
          <w:rFonts w:ascii="Times New Roman" w:hAnsi="Times New Roman"/>
          <w:color w:val="auto"/>
          <w:sz w:val="28"/>
          <w:szCs w:val="28"/>
        </w:rPr>
        <w:t>22</w:t>
      </w:r>
    </w:p>
    <w:p w:rsidR="003A6360" w:rsidRPr="00063BE3" w:rsidRDefault="003A6360" w:rsidP="00063BE3">
      <w:pPr>
        <w:widowControl/>
        <w:rPr>
          <w:rFonts w:ascii="Times New Roman" w:hAnsi="Times New Roman"/>
          <w:color w:val="auto"/>
          <w:sz w:val="24"/>
          <w:szCs w:val="24"/>
        </w:rPr>
      </w:pPr>
      <w:r w:rsidRPr="003A6360">
        <w:rPr>
          <w:rFonts w:ascii="Times New Roman" w:hAnsi="Times New Roman"/>
          <w:color w:val="auto"/>
          <w:sz w:val="24"/>
          <w:szCs w:val="24"/>
        </w:rPr>
        <w:t xml:space="preserve">      с. Никольское 2-е</w:t>
      </w:r>
    </w:p>
    <w:p w:rsidR="003A6360" w:rsidRDefault="003A6360" w:rsidP="005D6D4C">
      <w:pPr>
        <w:widowControl/>
        <w:tabs>
          <w:tab w:val="left" w:pos="3686"/>
          <w:tab w:val="left" w:pos="4111"/>
          <w:tab w:val="left" w:pos="4253"/>
        </w:tabs>
        <w:autoSpaceDE w:val="0"/>
        <w:autoSpaceDN w:val="0"/>
        <w:adjustRightInd w:val="0"/>
        <w:ind w:right="4818"/>
        <w:jc w:val="both"/>
        <w:rPr>
          <w:rFonts w:ascii="Times New Roman" w:hAnsi="Times New Roman"/>
          <w:b/>
          <w:color w:val="FF0000"/>
          <w:sz w:val="28"/>
          <w:szCs w:val="28"/>
        </w:rPr>
      </w:pPr>
    </w:p>
    <w:p w:rsidR="003A6360" w:rsidRPr="003A6360" w:rsidRDefault="00740A3D" w:rsidP="003A6360">
      <w:pPr>
        <w:widowControl/>
        <w:tabs>
          <w:tab w:val="left" w:pos="3686"/>
          <w:tab w:val="left" w:pos="4111"/>
          <w:tab w:val="left" w:pos="4253"/>
          <w:tab w:val="left" w:pos="4395"/>
        </w:tabs>
        <w:autoSpaceDE w:val="0"/>
        <w:autoSpaceDN w:val="0"/>
        <w:adjustRightInd w:val="0"/>
        <w:ind w:right="5385"/>
        <w:jc w:val="both"/>
        <w:rPr>
          <w:rFonts w:ascii="Times New Roman" w:eastAsia="Calibri" w:hAnsi="Times New Roman"/>
          <w:bCs/>
          <w:color w:val="auto"/>
          <w:kern w:val="28"/>
          <w:sz w:val="28"/>
          <w:szCs w:val="28"/>
        </w:rPr>
      </w:pPr>
      <w:r w:rsidRPr="003A6360">
        <w:rPr>
          <w:rFonts w:ascii="Times New Roman" w:eastAsia="Calibri" w:hAnsi="Times New Roman"/>
          <w:iCs/>
          <w:color w:val="auto"/>
          <w:sz w:val="28"/>
          <w:szCs w:val="28"/>
        </w:rPr>
        <w:t>Об утверждении положения о муниципальном жилищном контроле н</w:t>
      </w:r>
      <w:r w:rsidRPr="003A6360">
        <w:rPr>
          <w:rFonts w:ascii="Times New Roman" w:eastAsia="Calibri" w:hAnsi="Times New Roman"/>
          <w:color w:val="auto"/>
          <w:sz w:val="28"/>
          <w:szCs w:val="28"/>
        </w:rPr>
        <w:t xml:space="preserve">а территории </w:t>
      </w:r>
      <w:r w:rsidR="003A6360" w:rsidRPr="003A6360">
        <w:rPr>
          <w:rFonts w:ascii="Times New Roman" w:eastAsia="Calibri" w:hAnsi="Times New Roman"/>
          <w:bCs/>
          <w:color w:val="auto"/>
          <w:kern w:val="28"/>
          <w:sz w:val="28"/>
          <w:szCs w:val="28"/>
        </w:rPr>
        <w:t>Никольского сельского  поселения Бобровского муниципального района Воронежской области</w:t>
      </w:r>
    </w:p>
    <w:p w:rsidR="00740A3D" w:rsidRDefault="00740A3D" w:rsidP="003A6360">
      <w:pPr>
        <w:widowControl/>
        <w:tabs>
          <w:tab w:val="left" w:pos="3686"/>
          <w:tab w:val="left" w:pos="4111"/>
          <w:tab w:val="left" w:pos="4253"/>
        </w:tabs>
        <w:autoSpaceDE w:val="0"/>
        <w:autoSpaceDN w:val="0"/>
        <w:adjustRightInd w:val="0"/>
        <w:ind w:right="4818"/>
        <w:jc w:val="both"/>
        <w:rPr>
          <w:rFonts w:ascii="Times New Roman" w:hAnsi="Times New Roman"/>
          <w:sz w:val="28"/>
          <w:szCs w:val="28"/>
        </w:rPr>
      </w:pPr>
    </w:p>
    <w:p w:rsidR="003A6360" w:rsidRDefault="00740A3D" w:rsidP="003A6360">
      <w:pPr>
        <w:widowControl/>
        <w:spacing w:line="360" w:lineRule="auto"/>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003A6360" w:rsidRPr="003A6360">
        <w:rPr>
          <w:rFonts w:ascii="Times New Roman" w:eastAsia="Calibri" w:hAnsi="Times New Roman"/>
          <w:color w:val="auto"/>
          <w:sz w:val="28"/>
          <w:szCs w:val="28"/>
        </w:rPr>
        <w:t xml:space="preserve">Уставом Никольского сельского  поселения Бобровского муниципального района Воронежской области, Совет народных депутатов Никольского сельского поселения Бобровского муниципального района Воронежской области  </w:t>
      </w:r>
    </w:p>
    <w:p w:rsidR="00740A3D" w:rsidRPr="005D6D4C" w:rsidRDefault="003A6360" w:rsidP="003A6360">
      <w:pPr>
        <w:widowControl/>
        <w:spacing w:line="360" w:lineRule="auto"/>
        <w:ind w:firstLine="708"/>
        <w:jc w:val="both"/>
        <w:rPr>
          <w:rFonts w:ascii="Times New Roman" w:eastAsia="Calibri" w:hAnsi="Times New Roman"/>
          <w:color w:val="auto"/>
          <w:sz w:val="28"/>
          <w:szCs w:val="28"/>
        </w:rPr>
      </w:pPr>
      <w:proofErr w:type="gramStart"/>
      <w:r w:rsidRPr="003A6360">
        <w:rPr>
          <w:rFonts w:ascii="Times New Roman" w:eastAsia="Calibri" w:hAnsi="Times New Roman"/>
          <w:b/>
          <w:color w:val="auto"/>
          <w:sz w:val="28"/>
          <w:szCs w:val="28"/>
        </w:rPr>
        <w:t>р</w:t>
      </w:r>
      <w:proofErr w:type="gramEnd"/>
      <w:r w:rsidRPr="003A6360">
        <w:rPr>
          <w:rFonts w:ascii="Times New Roman" w:eastAsia="Calibri" w:hAnsi="Times New Roman"/>
          <w:b/>
          <w:color w:val="auto"/>
          <w:sz w:val="28"/>
          <w:szCs w:val="28"/>
        </w:rPr>
        <w:t xml:space="preserve"> е ш и л:</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003A6360" w:rsidRPr="003A6360">
        <w:rPr>
          <w:rFonts w:ascii="Times New Roman" w:eastAsia="SimSun" w:hAnsi="Times New Roman" w:cs="Mangal"/>
          <w:bCs/>
          <w:color w:val="auto"/>
          <w:kern w:val="28"/>
          <w:sz w:val="28"/>
          <w:szCs w:val="28"/>
          <w:lang w:eastAsia="zh-CN" w:bidi="hi-IN"/>
        </w:rPr>
        <w:t>Никольского сельского поселения Бобровского муниципального района Воронежской области</w:t>
      </w:r>
      <w:r w:rsidR="005D6D4C">
        <w:rPr>
          <w:rFonts w:ascii="Times New Roman" w:eastAsia="SimSun" w:hAnsi="Times New Roman" w:cs="Mangal"/>
          <w:bCs/>
          <w:color w:val="auto"/>
          <w:kern w:val="28"/>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rPr>
        <w:t>Глава  Никольского сельского поселения</w:t>
      </w: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rPr>
        <w:t xml:space="preserve">Бобровского муниципального района </w:t>
      </w: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rPr>
        <w:t xml:space="preserve">Воронежской области                                                                    В.Н. </w:t>
      </w:r>
      <w:proofErr w:type="spellStart"/>
      <w:r w:rsidRPr="003A6360">
        <w:rPr>
          <w:rFonts w:ascii="Times New Roman" w:hAnsi="Times New Roman"/>
          <w:color w:val="auto"/>
          <w:sz w:val="28"/>
          <w:szCs w:val="28"/>
        </w:rPr>
        <w:t>Машошин</w:t>
      </w:r>
      <w:proofErr w:type="spellEnd"/>
      <w:r w:rsidRPr="003A6360">
        <w:rPr>
          <w:rFonts w:ascii="Times New Roman" w:hAnsi="Times New Roman"/>
          <w:color w:val="auto"/>
          <w:sz w:val="28"/>
          <w:szCs w:val="28"/>
        </w:rPr>
        <w:t xml:space="preserve"> </w:t>
      </w:r>
    </w:p>
    <w:p w:rsidR="003A6360" w:rsidRPr="003A6360" w:rsidRDefault="003A6360" w:rsidP="003A6360">
      <w:pPr>
        <w:widowControl/>
        <w:rPr>
          <w:rFonts w:ascii="Times New Roman" w:hAnsi="Times New Roman"/>
          <w:color w:val="auto"/>
          <w:sz w:val="28"/>
          <w:szCs w:val="28"/>
        </w:rPr>
      </w:pPr>
    </w:p>
    <w:p w:rsidR="005D6D4C" w:rsidRDefault="005D6D4C" w:rsidP="000E7BBF">
      <w:pPr>
        <w:widowControl/>
        <w:rPr>
          <w:rFonts w:ascii="Times New Roman" w:hAnsi="Times New Roman"/>
          <w:sz w:val="28"/>
        </w:rPr>
      </w:pPr>
    </w:p>
    <w:p w:rsidR="00063BE3" w:rsidRDefault="00063BE3" w:rsidP="000E7BBF">
      <w:pPr>
        <w:widowControl/>
        <w:rPr>
          <w:rFonts w:ascii="Times New Roman" w:hAnsi="Times New Roman"/>
          <w:sz w:val="28"/>
        </w:rPr>
      </w:pPr>
    </w:p>
    <w:p w:rsidR="00063BE3" w:rsidRDefault="00063BE3" w:rsidP="000E7BBF">
      <w:pPr>
        <w:widowControl/>
        <w:rPr>
          <w:rFonts w:ascii="Times New Roman" w:hAnsi="Times New Roman"/>
          <w:sz w:val="28"/>
        </w:rPr>
      </w:pPr>
    </w:p>
    <w:p w:rsidR="00063BE3" w:rsidRDefault="00063BE3"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3A6360" w:rsidRPr="003A6360" w:rsidRDefault="003A6360" w:rsidP="003A6360">
      <w:pPr>
        <w:ind w:left="5103"/>
        <w:rPr>
          <w:rFonts w:ascii="Times New Roman" w:hAnsi="Times New Roman"/>
          <w:sz w:val="28"/>
          <w:szCs w:val="28"/>
        </w:rPr>
      </w:pPr>
      <w:r w:rsidRPr="003A6360">
        <w:rPr>
          <w:rFonts w:ascii="Times New Roman" w:hAnsi="Times New Roman"/>
          <w:sz w:val="28"/>
          <w:szCs w:val="28"/>
        </w:rPr>
        <w:lastRenderedPageBreak/>
        <w:t xml:space="preserve">УТВЕРЖДЕНО </w:t>
      </w:r>
    </w:p>
    <w:p w:rsidR="003A6360" w:rsidRPr="003A6360" w:rsidRDefault="003A6360" w:rsidP="003A6360">
      <w:pPr>
        <w:ind w:left="5103"/>
        <w:rPr>
          <w:rFonts w:ascii="Times New Roman" w:hAnsi="Times New Roman"/>
          <w:sz w:val="28"/>
          <w:szCs w:val="28"/>
        </w:rPr>
      </w:pPr>
      <w:r w:rsidRPr="003A6360">
        <w:rPr>
          <w:rFonts w:ascii="Times New Roman" w:hAnsi="Times New Roman"/>
          <w:sz w:val="28"/>
          <w:szCs w:val="28"/>
        </w:rPr>
        <w:t xml:space="preserve">решением Совета народных депутатов Никольского сельского поселения Бобровского муниципального района Воронежской области </w:t>
      </w:r>
    </w:p>
    <w:p w:rsidR="003A6360" w:rsidRPr="003A6360" w:rsidRDefault="003A6360" w:rsidP="003A6360">
      <w:pPr>
        <w:spacing w:line="240" w:lineRule="exact"/>
        <w:ind w:left="5103"/>
        <w:rPr>
          <w:rFonts w:ascii="Times New Roman" w:hAnsi="Times New Roman"/>
          <w:color w:val="auto"/>
          <w:sz w:val="28"/>
          <w:szCs w:val="28"/>
        </w:rPr>
      </w:pPr>
      <w:r w:rsidRPr="003A6360">
        <w:rPr>
          <w:rFonts w:ascii="Times New Roman" w:hAnsi="Times New Roman"/>
          <w:color w:val="auto"/>
          <w:sz w:val="28"/>
          <w:szCs w:val="28"/>
        </w:rPr>
        <w:t xml:space="preserve">от 15.10. 2021  года  № </w:t>
      </w:r>
      <w:r>
        <w:rPr>
          <w:rFonts w:ascii="Times New Roman" w:hAnsi="Times New Roman"/>
          <w:color w:val="auto"/>
          <w:sz w:val="28"/>
          <w:szCs w:val="28"/>
        </w:rPr>
        <w:t>22</w:t>
      </w: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3A6360" w:rsidRPr="003A6360" w:rsidRDefault="00740A3D" w:rsidP="003A6360">
      <w:pPr>
        <w:widowControl/>
        <w:autoSpaceDE w:val="0"/>
        <w:autoSpaceDN w:val="0"/>
        <w:adjustRightInd w:val="0"/>
        <w:jc w:val="center"/>
        <w:rPr>
          <w:rFonts w:ascii="Times New Roman" w:eastAsiaTheme="minorHAnsi" w:hAnsi="Times New Roman"/>
          <w:b/>
          <w:iCs/>
          <w:color w:val="auto"/>
          <w:sz w:val="28"/>
          <w:szCs w:val="28"/>
          <w:u w:val="single"/>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w:t>
      </w:r>
      <w:r w:rsidR="003A6360" w:rsidRPr="003A6360">
        <w:rPr>
          <w:rFonts w:ascii="Times New Roman" w:eastAsiaTheme="minorHAnsi" w:hAnsi="Times New Roman"/>
          <w:b/>
          <w:iCs/>
          <w:color w:val="auto"/>
          <w:sz w:val="28"/>
          <w:szCs w:val="28"/>
        </w:rPr>
        <w:t>на территории Никольского сельского поселения Бобровского муниципального района Воронежской области</w:t>
      </w:r>
    </w:p>
    <w:p w:rsidR="003A6360" w:rsidRPr="002B5873" w:rsidRDefault="002B5873" w:rsidP="002B5873">
      <w:pPr>
        <w:widowControl/>
        <w:jc w:val="center"/>
        <w:rPr>
          <w:rFonts w:ascii="Times New Roman" w:eastAsia="Calibri" w:hAnsi="Times New Roman"/>
          <w:b/>
          <w:color w:val="FF0000"/>
          <w:sz w:val="28"/>
          <w:szCs w:val="28"/>
        </w:rPr>
      </w:pPr>
      <w:r w:rsidRPr="002B5873">
        <w:rPr>
          <w:rFonts w:ascii="Times New Roman" w:eastAsia="Calibri" w:hAnsi="Times New Roman"/>
          <w:b/>
          <w:color w:val="FF0000"/>
          <w:sz w:val="28"/>
          <w:szCs w:val="28"/>
        </w:rPr>
        <w:t>(в редакции от 24.12.2021 № 29)</w:t>
      </w:r>
    </w:p>
    <w:p w:rsidR="000E7BBF" w:rsidRPr="00881E3B" w:rsidRDefault="000E7BBF" w:rsidP="003A6360">
      <w:pPr>
        <w:widowControl/>
        <w:autoSpaceDE w:val="0"/>
        <w:autoSpaceDN w:val="0"/>
        <w:adjustRightInd w:val="0"/>
        <w:jc w:val="center"/>
        <w:rPr>
          <w:rFonts w:ascii="Times New Roman" w:hAnsi="Times New Roman"/>
          <w:b/>
          <w:sz w:val="28"/>
        </w:rPr>
      </w:pPr>
      <w:r w:rsidRPr="00881E3B">
        <w:rPr>
          <w:rFonts w:ascii="Times New Roman" w:hAnsi="Times New Roman"/>
          <w:b/>
          <w:sz w:val="28"/>
        </w:rPr>
        <w:t>1.Общие положения</w:t>
      </w:r>
    </w:p>
    <w:p w:rsidR="000E7BBF" w:rsidRPr="00881E3B" w:rsidRDefault="000E7BBF" w:rsidP="000E7BBF">
      <w:pPr>
        <w:pStyle w:val="ConsPlusNormal"/>
        <w:ind w:firstLine="567"/>
        <w:rPr>
          <w:sz w:val="28"/>
        </w:rPr>
      </w:pPr>
    </w:p>
    <w:p w:rsidR="000E7BBF" w:rsidRPr="00E6451B"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3A6360" w:rsidRPr="003A6360">
        <w:rPr>
          <w:rFonts w:ascii="Times New Roman" w:eastAsiaTheme="minorHAnsi" w:hAnsi="Times New Roman"/>
          <w:color w:val="000000" w:themeColor="text1"/>
          <w:sz w:val="28"/>
          <w:szCs w:val="28"/>
        </w:rPr>
        <w:t xml:space="preserve">на территории Никольского сельского поселения Бобровского муниципального района Воронежской области </w:t>
      </w:r>
      <w:r w:rsidRPr="00E6451B">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proofErr w:type="gramStart"/>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Pr>
          <w:rFonts w:ascii="Times New Roman" w:hAnsi="Times New Roman"/>
          <w:color w:val="auto"/>
          <w:sz w:val="28"/>
        </w:rPr>
        <w:t xml:space="preserve"> </w:t>
      </w:r>
      <w:r w:rsidR="004B4793" w:rsidRPr="004B4793">
        <w:rPr>
          <w:rFonts w:ascii="Times New Roman" w:hAnsi="Times New Roman"/>
          <w:bCs/>
          <w:color w:val="auto"/>
          <w:sz w:val="28"/>
        </w:rPr>
        <w:t xml:space="preserve">законодательством об энергосбережении </w:t>
      </w:r>
      <w:proofErr w:type="gramStart"/>
      <w:r w:rsidR="004B4793" w:rsidRPr="004B4793">
        <w:rPr>
          <w:rFonts w:ascii="Times New Roman" w:hAnsi="Times New Roman"/>
          <w:bCs/>
          <w:color w:val="auto"/>
          <w:sz w:val="28"/>
        </w:rPr>
        <w:t>и</w:t>
      </w:r>
      <w:proofErr w:type="gramEnd"/>
      <w:r w:rsidR="004B4793" w:rsidRPr="004B4793">
        <w:rPr>
          <w:rFonts w:ascii="Times New Roman" w:hAnsi="Times New Roman"/>
          <w:bCs/>
          <w:color w:val="auto"/>
          <w:sz w:val="28"/>
        </w:rPr>
        <w:t xml:space="preserve">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 xml:space="preserve">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000E7BBF" w:rsidRPr="000E7BBF">
        <w:rPr>
          <w:rFonts w:ascii="Times New Roman" w:hAnsi="Times New Roman"/>
          <w:color w:val="auto"/>
          <w:sz w:val="28"/>
        </w:rPr>
        <w:t>пользуются и к которым предъявляются</w:t>
      </w:r>
      <w:proofErr w:type="gramEnd"/>
      <w:r w:rsidR="000E7BBF" w:rsidRPr="000E7BBF">
        <w:rPr>
          <w:rFonts w:ascii="Times New Roman" w:hAnsi="Times New Roman"/>
          <w:color w:val="auto"/>
          <w:sz w:val="28"/>
        </w:rPr>
        <w:t xml:space="preserve"> обязательные требования.</w:t>
      </w:r>
    </w:p>
    <w:p w:rsidR="000E7BBF" w:rsidRPr="003A6360" w:rsidRDefault="000E7BBF" w:rsidP="000E7BBF">
      <w:pPr>
        <w:pStyle w:val="a8"/>
        <w:widowControl/>
        <w:tabs>
          <w:tab w:val="left" w:pos="1134"/>
        </w:tabs>
        <w:ind w:left="0" w:firstLine="709"/>
        <w:jc w:val="both"/>
        <w:rPr>
          <w:rFonts w:ascii="Times New Roman" w:hAnsi="Times New Roman"/>
          <w:sz w:val="28"/>
        </w:rPr>
      </w:pPr>
      <w:r w:rsidRPr="003A6360">
        <w:rPr>
          <w:rFonts w:ascii="Times New Roman" w:hAnsi="Times New Roman"/>
          <w:sz w:val="28"/>
        </w:rPr>
        <w:t>1.4. Учет объектов контроля осуществляется посредством создания:</w:t>
      </w:r>
    </w:p>
    <w:p w:rsidR="000E7BBF" w:rsidRPr="003A6360" w:rsidRDefault="000E7BBF" w:rsidP="000E7BBF">
      <w:pPr>
        <w:widowControl/>
        <w:ind w:firstLine="709"/>
        <w:jc w:val="both"/>
        <w:rPr>
          <w:rFonts w:ascii="Times New Roman" w:hAnsi="Times New Roman"/>
          <w:color w:val="auto"/>
          <w:sz w:val="28"/>
        </w:rPr>
      </w:pPr>
      <w:r w:rsidRPr="003A6360">
        <w:rPr>
          <w:rFonts w:ascii="Times New Roman" w:hAnsi="Times New Roman"/>
          <w:color w:val="auto"/>
          <w:sz w:val="28"/>
        </w:rPr>
        <w:t xml:space="preserve">единого реестра контрольных мероприятий; </w:t>
      </w:r>
    </w:p>
    <w:p w:rsidR="000E7BBF" w:rsidRPr="003A6360" w:rsidRDefault="000E7BBF" w:rsidP="000E7BBF">
      <w:pPr>
        <w:pStyle w:val="HTML"/>
        <w:ind w:firstLine="709"/>
        <w:jc w:val="both"/>
        <w:rPr>
          <w:rFonts w:ascii="Times New Roman" w:hAnsi="Times New Roman" w:cs="Times New Roman"/>
          <w:sz w:val="28"/>
        </w:rPr>
      </w:pPr>
      <w:r w:rsidRPr="003A6360">
        <w:rPr>
          <w:rFonts w:ascii="Times New Roman" w:hAnsi="Times New Roman" w:cs="Times New Roman"/>
          <w:sz w:val="28"/>
        </w:rPr>
        <w:t xml:space="preserve">информационной системы </w:t>
      </w:r>
      <w:r w:rsidRPr="003A6360">
        <w:rPr>
          <w:rFonts w:ascii="Times New Roman" w:hAnsi="Times New Roman" w:cs="Times New Roman"/>
          <w:sz w:val="28"/>
          <w:szCs w:val="28"/>
        </w:rPr>
        <w:t>(подсистемы государственной информационной системы</w:t>
      </w:r>
      <w:proofErr w:type="gramStart"/>
      <w:r w:rsidRPr="003A6360">
        <w:rPr>
          <w:rFonts w:ascii="Times New Roman" w:hAnsi="Times New Roman" w:cs="Times New Roman"/>
          <w:sz w:val="28"/>
          <w:szCs w:val="28"/>
        </w:rPr>
        <w:t>)</w:t>
      </w:r>
      <w:r w:rsidRPr="003A6360">
        <w:rPr>
          <w:rFonts w:ascii="Times New Roman" w:hAnsi="Times New Roman" w:cs="Times New Roman"/>
          <w:sz w:val="28"/>
        </w:rPr>
        <w:t>д</w:t>
      </w:r>
      <w:proofErr w:type="gramEnd"/>
      <w:r w:rsidRPr="003A6360">
        <w:rPr>
          <w:rFonts w:ascii="Times New Roman" w:hAnsi="Times New Roman" w:cs="Times New Roman"/>
          <w:sz w:val="28"/>
        </w:rPr>
        <w:t>осудебного обжалования;</w:t>
      </w:r>
    </w:p>
    <w:p w:rsidR="000E7BBF" w:rsidRPr="000E7BBF" w:rsidRDefault="000E7BBF" w:rsidP="000E7BBF">
      <w:pPr>
        <w:pStyle w:val="ConsPlusNormal"/>
        <w:ind w:firstLine="709"/>
        <w:jc w:val="both"/>
        <w:rPr>
          <w:sz w:val="28"/>
        </w:rPr>
      </w:pPr>
      <w:r w:rsidRPr="003A6360">
        <w:rPr>
          <w:sz w:val="28"/>
        </w:rPr>
        <w:t>иных государственных и муниципальных информационных</w:t>
      </w:r>
      <w:r w:rsidRPr="000E7BBF">
        <w:rPr>
          <w:sz w:val="28"/>
        </w:rPr>
        <w:t xml:space="preserve">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3A6360">
        <w:rPr>
          <w:rFonts w:ascii="Times New Roman" w:hAnsi="Times New Roman"/>
          <w:color w:val="auto"/>
          <w:sz w:val="28"/>
          <w:szCs w:val="22"/>
        </w:rPr>
        <w:t>Учет объектов контроля осуществляется с использованием информационной системы</w:t>
      </w:r>
      <w:r w:rsidRPr="002A3B33">
        <w:rPr>
          <w:rFonts w:ascii="Times New Roman" w:hAnsi="Times New Roman"/>
          <w:color w:val="auto"/>
          <w:sz w:val="28"/>
          <w:szCs w:val="22"/>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3A6360" w:rsidRPr="003A6360">
        <w:rPr>
          <w:rFonts w:ascii="Times New Roman" w:eastAsiaTheme="minorHAnsi" w:hAnsi="Times New Roman"/>
          <w:color w:val="000000" w:themeColor="text1"/>
          <w:sz w:val="28"/>
          <w:szCs w:val="28"/>
        </w:rPr>
        <w:t>Никольского сельского поселения Бобровского муниципального района Воронежской области</w:t>
      </w:r>
      <w:r w:rsidR="003A6360" w:rsidRPr="003A6360">
        <w:rPr>
          <w:rFonts w:ascii="Times New Roman" w:eastAsiaTheme="minorHAnsi" w:hAnsi="Times New Roman"/>
          <w:i/>
          <w:color w:val="000000" w:themeColor="text1"/>
          <w:sz w:val="28"/>
          <w:szCs w:val="28"/>
        </w:rPr>
        <w:t xml:space="preserve">  </w:t>
      </w:r>
      <w:r w:rsidR="00E6451B">
        <w:rPr>
          <w:rFonts w:ascii="Times New Roman" w:eastAsiaTheme="minorHAnsi" w:hAnsi="Times New Roman"/>
          <w:color w:val="000000" w:themeColor="text1"/>
          <w:sz w:val="28"/>
          <w:szCs w:val="28"/>
        </w:rPr>
        <w:t>поселения</w:t>
      </w:r>
      <w:r w:rsidR="003A6360">
        <w:rPr>
          <w:rFonts w:ascii="Times New Roman" w:eastAsiaTheme="minorHAnsi" w:hAnsi="Times New Roman"/>
          <w:color w:val="000000" w:themeColor="text1"/>
          <w:sz w:val="28"/>
          <w:szCs w:val="28"/>
        </w:rPr>
        <w:t xml:space="preserve"> </w:t>
      </w:r>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3A6360" w:rsidRPr="003A6360">
        <w:rPr>
          <w:rFonts w:ascii="Times New Roman" w:hAnsi="Times New Roman"/>
          <w:sz w:val="28"/>
          <w:lang w:val="ru-RU"/>
        </w:rPr>
        <w:t>Никольского сельского поселения Бобровского муниципального района Воронежской области</w:t>
      </w:r>
      <w:r w:rsidR="003A6360" w:rsidRPr="003A6360">
        <w:rPr>
          <w:rFonts w:ascii="Times New Roman" w:hAnsi="Times New Roman"/>
          <w:i/>
          <w:sz w:val="28"/>
          <w:lang w:val="ru-RU"/>
        </w:rPr>
        <w:t xml:space="preserve">  </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3A6360" w:rsidRPr="003A6360">
        <w:rPr>
          <w:rFonts w:ascii="Times New Roman" w:hAnsi="Times New Roman"/>
          <w:sz w:val="28"/>
          <w:szCs w:val="28"/>
        </w:rPr>
        <w:t>Никольского сельского поселения Бобровского муниципального района Воронежской области</w:t>
      </w:r>
      <w:r w:rsidRPr="000E7BBF">
        <w:rPr>
          <w:rFonts w:ascii="Times New Roman" w:hAnsi="Times New Roman"/>
          <w:sz w:val="28"/>
          <w:szCs w:val="28"/>
        </w:rPr>
        <w:t>;</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907ABC">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w:t>
      </w:r>
      <w:r w:rsidRPr="006926F0">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w:t>
      </w:r>
      <w:r w:rsidRPr="003A6360">
        <w:rPr>
          <w:rStyle w:val="bumpedfont15"/>
          <w:sz w:val="28"/>
          <w:szCs w:val="28"/>
        </w:rPr>
        <w:t xml:space="preserve">. Контрольный орган обязан </w:t>
      </w:r>
      <w:proofErr w:type="gramStart"/>
      <w:r w:rsidRPr="003A6360">
        <w:rPr>
          <w:rStyle w:val="bumpedfont15"/>
          <w:sz w:val="28"/>
          <w:szCs w:val="28"/>
        </w:rPr>
        <w:t>размещать и поддерживать</w:t>
      </w:r>
      <w:proofErr w:type="gramEnd"/>
      <w:r w:rsidRPr="003A6360">
        <w:rPr>
          <w:rStyle w:val="bumpedfont15"/>
          <w:sz w:val="28"/>
          <w:szCs w:val="28"/>
        </w:rPr>
        <w:t xml:space="preserve"> в актуальном состоянии на своем официальном сайте в сети «Интернет» сведения, определенные частью 3 статьи 46 Федерального закона</w:t>
      </w:r>
      <w:r w:rsidRPr="00D124F0">
        <w:rPr>
          <w:rStyle w:val="bumpedfont15"/>
          <w:sz w:val="28"/>
          <w:szCs w:val="28"/>
        </w:rPr>
        <w:t xml:space="preserve"> № 248-ФЗ.</w:t>
      </w:r>
    </w:p>
    <w:p w:rsidR="00D124F0" w:rsidRDefault="00D124F0"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w:t>
      </w:r>
      <w:r w:rsidRPr="000E7BBF">
        <w:rPr>
          <w:rFonts w:ascii="Times New Roman" w:hAnsi="Times New Roman"/>
          <w:sz w:val="28"/>
          <w:szCs w:val="28"/>
        </w:rPr>
        <w:lastRenderedPageBreak/>
        <w:t xml:space="preserve">(далее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xml:space="preserve">, имеющие отношение к соблюдению требований, о </w:t>
      </w:r>
      <w:proofErr w:type="gramStart"/>
      <w:r w:rsidR="004D05F5" w:rsidRPr="004D05F5">
        <w:rPr>
          <w:rFonts w:ascii="Times New Roman" w:hAnsi="Times New Roman"/>
          <w:bCs/>
          <w:sz w:val="28"/>
        </w:rPr>
        <w:t>недопустимости</w:t>
      </w:r>
      <w:proofErr w:type="gramEnd"/>
      <w:r w:rsidR="004D05F5"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 xml:space="preserve">Контрольный орган </w:t>
      </w:r>
      <w:proofErr w:type="gramStart"/>
      <w:r w:rsidRPr="003E666D">
        <w:rPr>
          <w:rFonts w:ascii="Times New Roman" w:hAnsi="Times New Roman" w:cs="Times New Roman"/>
          <w:sz w:val="28"/>
          <w:szCs w:val="28"/>
        </w:rPr>
        <w:t>осуществляет учет объявленных им предостережений о недопустимости нарушения обязательных требований и использует</w:t>
      </w:r>
      <w:proofErr w:type="gramEnd"/>
      <w:r w:rsidRPr="003E666D">
        <w:rPr>
          <w:rFonts w:ascii="Times New Roman" w:hAnsi="Times New Roman" w:cs="Times New Roman"/>
          <w:sz w:val="28"/>
          <w:szCs w:val="28"/>
        </w:rPr>
        <w:t xml:space="preserve">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lastRenderedPageBreak/>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907ABC">
        <w:rPr>
          <w:rFonts w:ascii="Times New Roman" w:hAnsi="Times New Roman"/>
          <w:sz w:val="28"/>
        </w:rPr>
        <w:t xml:space="preserve"> </w:t>
      </w:r>
      <w:proofErr w:type="spellStart"/>
      <w:r w:rsidR="00A64A6B" w:rsidRPr="003E666D">
        <w:rPr>
          <w:rFonts w:ascii="Times New Roman" w:eastAsiaTheme="minorHAnsi" w:hAnsi="Times New Roman"/>
          <w:iCs/>
          <w:color w:val="auto"/>
          <w:sz w:val="28"/>
          <w:szCs w:val="28"/>
          <w:lang w:eastAsia="en-US"/>
        </w:rPr>
        <w:t>инспектором</w:t>
      </w:r>
      <w:r w:rsidRPr="003E666D">
        <w:rPr>
          <w:rFonts w:ascii="Times New Roman" w:hAnsi="Times New Roman"/>
          <w:sz w:val="28"/>
        </w:rPr>
        <w:t>в</w:t>
      </w:r>
      <w:proofErr w:type="spellEnd"/>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907ABC">
        <w:rPr>
          <w:rFonts w:ascii="Times New Roman" w:hAnsi="Times New Roman"/>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proofErr w:type="gramStart"/>
      <w:r w:rsidR="00907ABC">
        <w:rPr>
          <w:sz w:val="28"/>
        </w:rPr>
        <w:t>–</w:t>
      </w:r>
      <w:r w:rsidR="00DE739C" w:rsidRPr="005C2D4E">
        <w:rPr>
          <w:sz w:val="28"/>
        </w:rPr>
        <w:t>п</w:t>
      </w:r>
      <w:proofErr w:type="gramEnd"/>
      <w:r w:rsidR="00DE739C" w:rsidRPr="005C2D4E">
        <w:rPr>
          <w:sz w:val="28"/>
        </w:rPr>
        <w:t>ри</w:t>
      </w:r>
      <w:r w:rsidR="00907ABC">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proofErr w:type="gramStart"/>
      <w:r w:rsidR="00325596" w:rsidRPr="005C2D4E">
        <w:rPr>
          <w:sz w:val="28"/>
        </w:rPr>
        <w:t>-</w:t>
      </w:r>
      <w:r w:rsidRPr="005C2D4E">
        <w:rPr>
          <w:sz w:val="28"/>
        </w:rPr>
        <w:t>б</w:t>
      </w:r>
      <w:proofErr w:type="gramEnd"/>
      <w:r w:rsidRPr="005C2D4E">
        <w:rPr>
          <w:sz w:val="28"/>
        </w:rPr>
        <w:t>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907ABC">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lastRenderedPageBreak/>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907ABC">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907ABC">
        <w:rPr>
          <w:rFonts w:ascii="Times New Roman" w:hAnsi="Times New Roman"/>
          <w:sz w:val="28"/>
        </w:rPr>
        <w:t xml:space="preserve"> </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w:t>
      </w:r>
      <w:r w:rsidRPr="000E7BBF">
        <w:rPr>
          <w:rFonts w:ascii="Times New Roman" w:hAnsi="Times New Roman"/>
          <w:sz w:val="28"/>
        </w:rPr>
        <w:lastRenderedPageBreak/>
        <w:t>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907ABC">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907ABC">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w:t>
      </w:r>
      <w:r w:rsidRPr="000E7BBF">
        <w:rPr>
          <w:color w:val="000000"/>
          <w:sz w:val="28"/>
        </w:rPr>
        <w:lastRenderedPageBreak/>
        <w:t>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07ABC">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907ABC">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0E7BBF">
        <w:rPr>
          <w:rFonts w:ascii="Times New Roman" w:hAnsi="Times New Roman" w:cs="Times New Roman"/>
          <w:sz w:val="28"/>
          <w:szCs w:val="28"/>
        </w:rPr>
        <w:lastRenderedPageBreak/>
        <w:t xml:space="preserve">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4.3.4. Плановые контрольные мероприятия в отношении объектов </w:t>
      </w:r>
      <w:r w:rsidRPr="000E7BBF">
        <w:rPr>
          <w:rFonts w:ascii="Times New Roman" w:hAnsi="Times New Roman"/>
          <w:color w:val="auto"/>
          <w:sz w:val="28"/>
          <w:szCs w:val="28"/>
        </w:rPr>
        <w:lastRenderedPageBreak/>
        <w:t>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0"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0"/>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w:t>
      </w:r>
      <w:proofErr w:type="gramStart"/>
      <w:r w:rsidRPr="000E7BBF">
        <w:rPr>
          <w:rFonts w:ascii="Times New Roman" w:hAnsi="Times New Roman" w:cs="Times New Roman"/>
          <w:sz w:val="28"/>
          <w:szCs w:val="28"/>
        </w:rPr>
        <w:t>о-</w:t>
      </w:r>
      <w:proofErr w:type="gramEnd"/>
      <w:r w:rsidRPr="000E7BBF">
        <w:rPr>
          <w:rFonts w:ascii="Times New Roman" w:hAnsi="Times New Roman" w:cs="Times New Roman"/>
          <w:sz w:val="28"/>
          <w:szCs w:val="28"/>
        </w:rPr>
        <w:t xml:space="preserve">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6926F0">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w:t>
      </w:r>
      <w:proofErr w:type="gramStart"/>
      <w:r w:rsidRPr="000E7BBF">
        <w:rPr>
          <w:rFonts w:ascii="Times New Roman" w:hAnsi="Times New Roman" w:cs="Times New Roman"/>
          <w:sz w:val="28"/>
        </w:rPr>
        <w:t>о-</w:t>
      </w:r>
      <w:proofErr w:type="gramEnd"/>
      <w:r w:rsidRPr="000E7BBF">
        <w:rPr>
          <w:rFonts w:ascii="Times New Roman" w:hAnsi="Times New Roman" w:cs="Times New Roman"/>
          <w:sz w:val="28"/>
        </w:rPr>
        <w:t xml:space="preserve">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0E7BBF">
        <w:rPr>
          <w:rFonts w:ascii="Times New Roman" w:hAnsi="Times New Roman" w:cs="Times New Roman"/>
          <w:sz w:val="28"/>
          <w:szCs w:val="28"/>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Время осуществления экспертизы </w:t>
      </w:r>
      <w:proofErr w:type="gramStart"/>
      <w:r w:rsidRPr="000E7BBF">
        <w:rPr>
          <w:rFonts w:ascii="Times New Roman" w:hAnsi="Times New Roman" w:cs="Times New Roman"/>
          <w:sz w:val="28"/>
          <w:szCs w:val="28"/>
        </w:rPr>
        <w:t>зависит от вида экспертизы и устанавливается</w:t>
      </w:r>
      <w:proofErr w:type="gramEnd"/>
      <w:r w:rsidRPr="000E7BBF">
        <w:rPr>
          <w:rFonts w:ascii="Times New Roman" w:hAnsi="Times New Roman" w:cs="Times New Roman"/>
          <w:sz w:val="28"/>
          <w:szCs w:val="28"/>
        </w:rPr>
        <w:t xml:space="preserve">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Pr="000E7BBF">
        <w:rPr>
          <w:rFonts w:ascii="Times New Roman" w:hAnsi="Times New Roman" w:cs="Times New Roman"/>
          <w:sz w:val="28"/>
          <w:szCs w:val="28"/>
        </w:rPr>
        <w:t>с</w:t>
      </w:r>
      <w:proofErr w:type="gramEnd"/>
      <w:r w:rsidRPr="000E7BBF">
        <w:rPr>
          <w:rFonts w:ascii="Times New Roman" w:hAnsi="Times New Roman" w:cs="Times New Roman"/>
          <w:sz w:val="28"/>
          <w:szCs w:val="28"/>
        </w:rPr>
        <w:t xml:space="preserve">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6926F0">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1"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1"/>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w:t>
      </w:r>
      <w:proofErr w:type="gramStart"/>
      <w:r w:rsidRPr="000E7BBF">
        <w:rPr>
          <w:sz w:val="28"/>
        </w:rPr>
        <w:t>о-</w:t>
      </w:r>
      <w:proofErr w:type="gramEnd"/>
      <w:r w:rsidRPr="000E7BBF">
        <w:rPr>
          <w:sz w:val="28"/>
        </w:rPr>
        <w:t xml:space="preserve">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w:t>
      </w:r>
      <w:r w:rsidRPr="000E7BBF">
        <w:rPr>
          <w:sz w:val="28"/>
        </w:rPr>
        <w:lastRenderedPageBreak/>
        <w:t>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w:t>
      </w:r>
      <w:proofErr w:type="gramStart"/>
      <w:r w:rsidRPr="000E7BBF">
        <w:rPr>
          <w:sz w:val="28"/>
        </w:rPr>
        <w:t>о-</w:t>
      </w:r>
      <w:proofErr w:type="gramEnd"/>
      <w:r w:rsidRPr="000E7BBF">
        <w:rPr>
          <w:sz w:val="28"/>
        </w:rPr>
        <w:t xml:space="preserve">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2"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2B5873">
      <w:pPr>
        <w:pStyle w:val="ConsPlusNormal"/>
        <w:ind w:firstLine="0"/>
        <w:jc w:val="center"/>
        <w:rPr>
          <w:b/>
          <w:sz w:val="28"/>
        </w:rPr>
      </w:pPr>
    </w:p>
    <w:p w:rsidR="002B5873" w:rsidRDefault="000E7BBF" w:rsidP="002B5873">
      <w:pPr>
        <w:pStyle w:val="ConsPlusNormal"/>
        <w:jc w:val="center"/>
        <w:rPr>
          <w:b/>
          <w:color w:val="FF0000"/>
          <w:sz w:val="28"/>
        </w:rPr>
      </w:pPr>
      <w:r w:rsidRPr="000E7BBF">
        <w:rPr>
          <w:b/>
          <w:sz w:val="28"/>
        </w:rPr>
        <w:t>5. Досудебное обжалование</w:t>
      </w:r>
      <w:r w:rsidR="002B5873">
        <w:rPr>
          <w:b/>
          <w:sz w:val="28"/>
        </w:rPr>
        <w:t xml:space="preserve"> – </w:t>
      </w:r>
      <w:r w:rsidR="002B5873" w:rsidRPr="002B5873">
        <w:rPr>
          <w:b/>
          <w:color w:val="FF0000"/>
          <w:sz w:val="28"/>
        </w:rPr>
        <w:t>утратил силу</w:t>
      </w:r>
    </w:p>
    <w:p w:rsidR="002B5873" w:rsidRPr="002B5873" w:rsidRDefault="002B5873" w:rsidP="002B5873">
      <w:pPr>
        <w:pStyle w:val="ConsPlusNormal"/>
        <w:jc w:val="center"/>
        <w:rPr>
          <w:b/>
          <w:color w:val="FF0000"/>
          <w:sz w:val="28"/>
        </w:rPr>
      </w:pPr>
      <w:r w:rsidRPr="002B5873">
        <w:rPr>
          <w:b/>
          <w:color w:val="FF0000"/>
          <w:sz w:val="28"/>
        </w:rPr>
        <w:t>(в редакции от 24.12.2021 № 29)</w:t>
      </w:r>
    </w:p>
    <w:p w:rsidR="000E7BBF" w:rsidRPr="000E7BBF" w:rsidRDefault="000E7BBF" w:rsidP="000E7BBF">
      <w:pPr>
        <w:pStyle w:val="ConsPlusNormal"/>
        <w:ind w:firstLine="0"/>
        <w:jc w:val="center"/>
        <w:rPr>
          <w:b/>
          <w:sz w:val="28"/>
        </w:rPr>
      </w:pP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FB04DD" w:rsidRDefault="00FB04DD" w:rsidP="000E7BBF">
      <w:pPr>
        <w:pStyle w:val="a8"/>
        <w:widowControl/>
        <w:tabs>
          <w:tab w:val="left" w:pos="1134"/>
        </w:tabs>
        <w:ind w:left="0"/>
        <w:jc w:val="center"/>
        <w:rPr>
          <w:rFonts w:ascii="Times New Roman" w:hAnsi="Times New Roman"/>
          <w:b/>
          <w:sz w:val="28"/>
          <w:lang w:val="ru-RU"/>
        </w:rPr>
      </w:pPr>
    </w:p>
    <w:p w:rsidR="00FB04DD" w:rsidRPr="00FB04DD" w:rsidRDefault="00FB04DD" w:rsidP="00FB04DD">
      <w:pPr>
        <w:pStyle w:val="a8"/>
        <w:widowControl/>
        <w:tabs>
          <w:tab w:val="left" w:pos="1134"/>
        </w:tabs>
        <w:ind w:left="0"/>
        <w:jc w:val="both"/>
        <w:rPr>
          <w:rFonts w:ascii="Times New Roman" w:hAnsi="Times New Roman"/>
          <w:sz w:val="28"/>
        </w:rPr>
      </w:pPr>
      <w:r>
        <w:rPr>
          <w:rFonts w:ascii="Times New Roman" w:hAnsi="Times New Roman"/>
          <w:sz w:val="28"/>
          <w:lang w:val="ru-RU"/>
        </w:rPr>
        <w:t xml:space="preserve">         </w:t>
      </w:r>
      <w:r w:rsidRPr="00FB04DD">
        <w:rPr>
          <w:rFonts w:ascii="Times New Roman" w:hAnsi="Times New Roman"/>
          <w:sz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FB04DD" w:rsidRPr="00FB04DD" w:rsidRDefault="00FB04DD" w:rsidP="00FB04DD">
      <w:pPr>
        <w:pStyle w:val="a8"/>
        <w:widowControl/>
        <w:tabs>
          <w:tab w:val="left" w:pos="1134"/>
        </w:tabs>
        <w:ind w:left="0"/>
        <w:jc w:val="both"/>
        <w:rPr>
          <w:rFonts w:ascii="Times New Roman" w:hAnsi="Times New Roman"/>
          <w:b/>
          <w:sz w:val="28"/>
        </w:rPr>
      </w:pPr>
    </w:p>
    <w:p w:rsidR="000E7BBF" w:rsidRPr="00861152" w:rsidRDefault="000E7BBF" w:rsidP="00861152">
      <w:pPr>
        <w:widowControl/>
        <w:tabs>
          <w:tab w:val="left" w:pos="1134"/>
        </w:tabs>
        <w:jc w:val="both"/>
        <w:rPr>
          <w:rFonts w:ascii="Times New Roman" w:hAnsi="Times New Roman"/>
          <w:sz w:val="28"/>
        </w:rPr>
      </w:pPr>
    </w:p>
    <w:p w:rsidR="003A6360" w:rsidRDefault="003A6360" w:rsidP="002B5873">
      <w:pPr>
        <w:pStyle w:val="ConsPlusNormal"/>
        <w:spacing w:line="192" w:lineRule="auto"/>
        <w:ind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E91CD7" w:rsidRDefault="00E91CD7" w:rsidP="00063BE3">
      <w:pPr>
        <w:pStyle w:val="ConsPlusNormal"/>
        <w:spacing w:line="192" w:lineRule="auto"/>
        <w:ind w:firstLine="0"/>
        <w:outlineLvl w:val="1"/>
        <w:rPr>
          <w:sz w:val="28"/>
          <w:szCs w:val="28"/>
        </w:rPr>
      </w:pPr>
      <w:bookmarkStart w:id="3" w:name="_GoBack"/>
      <w:bookmarkEnd w:id="3"/>
    </w:p>
    <w:p w:rsidR="00FB04DD" w:rsidRPr="00FB04DD" w:rsidRDefault="00FB04DD" w:rsidP="00FB04DD">
      <w:pPr>
        <w:widowControl/>
        <w:ind w:left="4820"/>
        <w:rPr>
          <w:rFonts w:ascii="Times New Roman" w:hAnsi="Times New Roman"/>
          <w:sz w:val="24"/>
          <w:szCs w:val="24"/>
        </w:rPr>
      </w:pPr>
      <w:r w:rsidRPr="00FB04DD">
        <w:rPr>
          <w:rFonts w:ascii="Times New Roman" w:hAnsi="Times New Roman"/>
          <w:sz w:val="24"/>
          <w:szCs w:val="24"/>
        </w:rPr>
        <w:lastRenderedPageBreak/>
        <w:t>Приложение 1</w:t>
      </w:r>
    </w:p>
    <w:p w:rsidR="00FB04DD" w:rsidRPr="00FB04DD" w:rsidRDefault="00FB04DD" w:rsidP="00FB04DD">
      <w:pPr>
        <w:widowControl/>
        <w:ind w:left="4820"/>
        <w:rPr>
          <w:rFonts w:ascii="Times New Roman" w:hAnsi="Times New Roman"/>
          <w:sz w:val="24"/>
          <w:szCs w:val="24"/>
        </w:rPr>
      </w:pPr>
      <w:r w:rsidRPr="00FB04DD">
        <w:rPr>
          <w:rFonts w:ascii="Times New Roman" w:hAnsi="Times New Roman"/>
          <w:sz w:val="24"/>
          <w:szCs w:val="24"/>
        </w:rPr>
        <w:t xml:space="preserve">к Положению о </w:t>
      </w:r>
      <w:proofErr w:type="gramStart"/>
      <w:r w:rsidRPr="00FB04DD">
        <w:rPr>
          <w:rFonts w:ascii="Times New Roman" w:hAnsi="Times New Roman"/>
          <w:sz w:val="24"/>
          <w:szCs w:val="24"/>
        </w:rPr>
        <w:t>муниципальном</w:t>
      </w:r>
      <w:proofErr w:type="gramEnd"/>
      <w:r w:rsidRPr="00FB04DD">
        <w:rPr>
          <w:rFonts w:ascii="Times New Roman" w:hAnsi="Times New Roman"/>
          <w:sz w:val="24"/>
          <w:szCs w:val="24"/>
        </w:rPr>
        <w:t xml:space="preserve"> </w:t>
      </w:r>
    </w:p>
    <w:p w:rsidR="006926F0" w:rsidRPr="00063BE3" w:rsidRDefault="00FB04DD" w:rsidP="00063BE3">
      <w:pPr>
        <w:widowControl/>
        <w:ind w:left="4820"/>
        <w:rPr>
          <w:rFonts w:ascii="Times New Roman" w:hAnsi="Times New Roman"/>
          <w:sz w:val="24"/>
          <w:szCs w:val="24"/>
        </w:rPr>
      </w:pPr>
      <w:r w:rsidRPr="00063BE3">
        <w:rPr>
          <w:rFonts w:ascii="Times New Roman" w:hAnsi="Times New Roman"/>
          <w:sz w:val="24"/>
          <w:szCs w:val="24"/>
        </w:rPr>
        <w:t xml:space="preserve">жилищном </w:t>
      </w:r>
      <w:proofErr w:type="gramStart"/>
      <w:r w:rsidRPr="00063BE3">
        <w:rPr>
          <w:rFonts w:ascii="Times New Roman" w:hAnsi="Times New Roman"/>
          <w:sz w:val="24"/>
          <w:szCs w:val="24"/>
        </w:rPr>
        <w:t>контроле</w:t>
      </w:r>
      <w:proofErr w:type="gramEnd"/>
      <w:r w:rsidRPr="00063BE3">
        <w:rPr>
          <w:rFonts w:ascii="Times New Roman" w:hAnsi="Times New Roman"/>
          <w:sz w:val="24"/>
          <w:szCs w:val="24"/>
        </w:rPr>
        <w:t xml:space="preserve"> </w:t>
      </w:r>
      <w:r w:rsidRPr="00FB04DD">
        <w:rPr>
          <w:rFonts w:ascii="Times New Roman" w:hAnsi="Times New Roman"/>
          <w:sz w:val="24"/>
          <w:szCs w:val="24"/>
        </w:rPr>
        <w:t>на территории</w:t>
      </w:r>
      <w:r w:rsidRPr="00FB04DD">
        <w:rPr>
          <w:sz w:val="24"/>
          <w:szCs w:val="24"/>
        </w:rPr>
        <w:t xml:space="preserve"> </w:t>
      </w:r>
      <w:r w:rsidRPr="00FB04DD">
        <w:rPr>
          <w:rFonts w:ascii="Times New Roman" w:hAnsi="Times New Roman"/>
          <w:sz w:val="24"/>
          <w:szCs w:val="24"/>
        </w:rPr>
        <w:t xml:space="preserve">Никольского сельского поселения Бобровского муниципального района Воронежской области  </w:t>
      </w: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6926F0">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FB04DD" w:rsidRPr="00063BE3" w:rsidRDefault="00D51060" w:rsidP="00063BE3">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FB04DD" w:rsidRDefault="00FB04DD" w:rsidP="00101DA9">
      <w:pPr>
        <w:pStyle w:val="ConsPlusNormal"/>
        <w:spacing w:line="192" w:lineRule="auto"/>
        <w:ind w:firstLine="4536"/>
        <w:outlineLvl w:val="1"/>
        <w:rPr>
          <w:sz w:val="28"/>
          <w:szCs w:val="28"/>
        </w:rPr>
      </w:pPr>
    </w:p>
    <w:p w:rsidR="00FB04DD" w:rsidRPr="00FB04DD" w:rsidRDefault="00FB04DD" w:rsidP="00FB04DD">
      <w:pPr>
        <w:widowControl/>
        <w:ind w:left="4820"/>
        <w:rPr>
          <w:rFonts w:ascii="Times New Roman" w:hAnsi="Times New Roman"/>
          <w:sz w:val="24"/>
          <w:szCs w:val="24"/>
        </w:rPr>
      </w:pPr>
      <w:r w:rsidRPr="00063BE3">
        <w:rPr>
          <w:rFonts w:ascii="Times New Roman" w:hAnsi="Times New Roman"/>
          <w:sz w:val="24"/>
          <w:szCs w:val="24"/>
        </w:rPr>
        <w:t>Приложение 2</w:t>
      </w:r>
    </w:p>
    <w:p w:rsidR="00FB04DD" w:rsidRPr="00FB04DD" w:rsidRDefault="00FB04DD" w:rsidP="00FB04DD">
      <w:pPr>
        <w:widowControl/>
        <w:ind w:left="4820"/>
        <w:rPr>
          <w:rFonts w:ascii="Times New Roman" w:hAnsi="Times New Roman"/>
          <w:sz w:val="24"/>
          <w:szCs w:val="24"/>
        </w:rPr>
      </w:pPr>
      <w:r w:rsidRPr="00FB04DD">
        <w:rPr>
          <w:rFonts w:ascii="Times New Roman" w:hAnsi="Times New Roman"/>
          <w:sz w:val="24"/>
          <w:szCs w:val="24"/>
        </w:rPr>
        <w:t xml:space="preserve">к Положению о </w:t>
      </w:r>
      <w:proofErr w:type="gramStart"/>
      <w:r w:rsidRPr="00FB04DD">
        <w:rPr>
          <w:rFonts w:ascii="Times New Roman" w:hAnsi="Times New Roman"/>
          <w:sz w:val="24"/>
          <w:szCs w:val="24"/>
        </w:rPr>
        <w:t>муниципальном</w:t>
      </w:r>
      <w:proofErr w:type="gramEnd"/>
      <w:r w:rsidRPr="00FB04DD">
        <w:rPr>
          <w:rFonts w:ascii="Times New Roman" w:hAnsi="Times New Roman"/>
          <w:sz w:val="24"/>
          <w:szCs w:val="24"/>
        </w:rPr>
        <w:t xml:space="preserve"> </w:t>
      </w:r>
    </w:p>
    <w:p w:rsidR="00FB04DD" w:rsidRPr="00FB04DD" w:rsidRDefault="00FB04DD" w:rsidP="00FB04DD">
      <w:pPr>
        <w:widowControl/>
        <w:ind w:left="4820"/>
        <w:rPr>
          <w:rFonts w:ascii="Times New Roman" w:hAnsi="Times New Roman"/>
          <w:sz w:val="24"/>
          <w:szCs w:val="24"/>
        </w:rPr>
      </w:pPr>
      <w:r w:rsidRPr="00063BE3">
        <w:rPr>
          <w:rFonts w:ascii="Times New Roman" w:hAnsi="Times New Roman"/>
          <w:sz w:val="24"/>
          <w:szCs w:val="24"/>
        </w:rPr>
        <w:t xml:space="preserve">жилищном </w:t>
      </w:r>
      <w:proofErr w:type="gramStart"/>
      <w:r w:rsidRPr="00063BE3">
        <w:rPr>
          <w:rFonts w:ascii="Times New Roman" w:hAnsi="Times New Roman"/>
          <w:sz w:val="24"/>
          <w:szCs w:val="24"/>
        </w:rPr>
        <w:t>контроле</w:t>
      </w:r>
      <w:proofErr w:type="gramEnd"/>
      <w:r w:rsidRPr="00063BE3">
        <w:rPr>
          <w:rFonts w:ascii="Times New Roman" w:hAnsi="Times New Roman"/>
          <w:sz w:val="24"/>
          <w:szCs w:val="24"/>
        </w:rPr>
        <w:t xml:space="preserve"> </w:t>
      </w:r>
      <w:r w:rsidRPr="00FB04DD">
        <w:rPr>
          <w:rFonts w:ascii="Times New Roman" w:hAnsi="Times New Roman"/>
          <w:sz w:val="24"/>
          <w:szCs w:val="24"/>
        </w:rPr>
        <w:t>на территории</w:t>
      </w:r>
      <w:r w:rsidRPr="00FB04DD">
        <w:rPr>
          <w:sz w:val="24"/>
          <w:szCs w:val="24"/>
        </w:rPr>
        <w:t xml:space="preserve"> </w:t>
      </w:r>
      <w:r w:rsidRPr="00FB04DD">
        <w:rPr>
          <w:rFonts w:ascii="Times New Roman" w:hAnsi="Times New Roman"/>
          <w:sz w:val="24"/>
          <w:szCs w:val="24"/>
        </w:rPr>
        <w:t xml:space="preserve">Никольского сельского поселения Бобровского муниципального района Воронежской области  </w:t>
      </w: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6926F0" w:rsidRDefault="006926F0"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proofErr w:type="gramStart"/>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r w:rsidRPr="000E7BBF">
        <w:rPr>
          <w:rFonts w:ascii="Times New Roman" w:hAnsi="Times New Roman"/>
          <w:sz w:val="28"/>
          <w:szCs w:val="28"/>
        </w:rPr>
        <w:lastRenderedPageBreak/>
        <w:t>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733FF8" w:rsidRDefault="00733FF8" w:rsidP="00BD1ADA">
      <w:pPr>
        <w:pStyle w:val="ConsPlusNormal"/>
        <w:spacing w:line="192" w:lineRule="auto"/>
        <w:outlineLvl w:val="1"/>
        <w:rPr>
          <w:sz w:val="28"/>
        </w:rPr>
        <w:sectPr w:rsidR="00733FF8" w:rsidSect="003A6360">
          <w:headerReference w:type="default" r:id="rId15"/>
          <w:pgSz w:w="11906" w:h="16838"/>
          <w:pgMar w:top="568" w:right="567" w:bottom="1134" w:left="1701" w:header="709" w:footer="709" w:gutter="0"/>
          <w:pgNumType w:start="1"/>
          <w:cols w:space="720"/>
          <w:titlePg/>
          <w:docGrid w:linePitch="272"/>
        </w:sectPr>
      </w:pPr>
    </w:p>
    <w:p w:rsidR="00FB04DD" w:rsidRPr="00FB04DD" w:rsidRDefault="00FB04DD" w:rsidP="00FB04DD">
      <w:pPr>
        <w:widowControl/>
        <w:ind w:left="9639"/>
        <w:rPr>
          <w:rFonts w:ascii="Times New Roman" w:hAnsi="Times New Roman"/>
          <w:sz w:val="24"/>
          <w:szCs w:val="24"/>
        </w:rPr>
      </w:pPr>
      <w:r w:rsidRPr="00FB04DD">
        <w:rPr>
          <w:rFonts w:ascii="Times New Roman" w:hAnsi="Times New Roman"/>
          <w:sz w:val="24"/>
          <w:szCs w:val="24"/>
        </w:rPr>
        <w:lastRenderedPageBreak/>
        <w:t>Приложение 1</w:t>
      </w:r>
    </w:p>
    <w:p w:rsidR="00FB04DD" w:rsidRPr="00FB04DD" w:rsidRDefault="00FB04DD" w:rsidP="00FB04DD">
      <w:pPr>
        <w:widowControl/>
        <w:ind w:left="9639"/>
        <w:rPr>
          <w:rFonts w:ascii="Times New Roman" w:hAnsi="Times New Roman"/>
          <w:sz w:val="24"/>
          <w:szCs w:val="24"/>
        </w:rPr>
      </w:pPr>
      <w:r w:rsidRPr="00FB04DD">
        <w:rPr>
          <w:rFonts w:ascii="Times New Roman" w:hAnsi="Times New Roman"/>
          <w:sz w:val="24"/>
          <w:szCs w:val="24"/>
        </w:rPr>
        <w:t xml:space="preserve">к Положению о </w:t>
      </w:r>
      <w:proofErr w:type="gramStart"/>
      <w:r w:rsidRPr="00FB04DD">
        <w:rPr>
          <w:rFonts w:ascii="Times New Roman" w:hAnsi="Times New Roman"/>
          <w:sz w:val="24"/>
          <w:szCs w:val="24"/>
        </w:rPr>
        <w:t>муниципальном</w:t>
      </w:r>
      <w:proofErr w:type="gramEnd"/>
      <w:r w:rsidRPr="00FB04DD">
        <w:rPr>
          <w:rFonts w:ascii="Times New Roman" w:hAnsi="Times New Roman"/>
          <w:sz w:val="24"/>
          <w:szCs w:val="24"/>
        </w:rPr>
        <w:t xml:space="preserve"> </w:t>
      </w:r>
    </w:p>
    <w:p w:rsidR="00FB04DD" w:rsidRPr="00063BE3" w:rsidRDefault="00FB04DD" w:rsidP="00FB04DD">
      <w:pPr>
        <w:widowControl/>
        <w:ind w:left="9639"/>
        <w:rPr>
          <w:sz w:val="24"/>
          <w:szCs w:val="24"/>
        </w:rPr>
      </w:pPr>
      <w:r w:rsidRPr="00063BE3">
        <w:rPr>
          <w:rFonts w:ascii="Times New Roman" w:hAnsi="Times New Roman"/>
          <w:sz w:val="24"/>
          <w:szCs w:val="24"/>
        </w:rPr>
        <w:t xml:space="preserve">жилищном </w:t>
      </w:r>
      <w:proofErr w:type="gramStart"/>
      <w:r w:rsidRPr="00063BE3">
        <w:rPr>
          <w:rFonts w:ascii="Times New Roman" w:hAnsi="Times New Roman"/>
          <w:sz w:val="24"/>
          <w:szCs w:val="24"/>
        </w:rPr>
        <w:t>контроле</w:t>
      </w:r>
      <w:proofErr w:type="gramEnd"/>
      <w:r w:rsidRPr="00063BE3">
        <w:rPr>
          <w:rFonts w:ascii="Times New Roman" w:hAnsi="Times New Roman"/>
          <w:sz w:val="24"/>
          <w:szCs w:val="24"/>
        </w:rPr>
        <w:t xml:space="preserve"> </w:t>
      </w:r>
      <w:r w:rsidRPr="00FB04DD">
        <w:rPr>
          <w:rFonts w:ascii="Times New Roman" w:hAnsi="Times New Roman"/>
          <w:sz w:val="24"/>
          <w:szCs w:val="24"/>
        </w:rPr>
        <w:t>на территории</w:t>
      </w:r>
      <w:r w:rsidRPr="00FB04DD">
        <w:rPr>
          <w:sz w:val="24"/>
          <w:szCs w:val="24"/>
        </w:rPr>
        <w:t xml:space="preserve"> </w:t>
      </w:r>
    </w:p>
    <w:p w:rsidR="00FB04DD" w:rsidRPr="00063BE3" w:rsidRDefault="00FB04DD" w:rsidP="00FB04DD">
      <w:pPr>
        <w:widowControl/>
        <w:ind w:left="9639"/>
        <w:rPr>
          <w:rFonts w:ascii="Times New Roman" w:hAnsi="Times New Roman"/>
          <w:sz w:val="24"/>
          <w:szCs w:val="24"/>
        </w:rPr>
      </w:pPr>
      <w:r w:rsidRPr="00FB04DD">
        <w:rPr>
          <w:rFonts w:ascii="Times New Roman" w:hAnsi="Times New Roman"/>
          <w:sz w:val="24"/>
          <w:szCs w:val="24"/>
        </w:rPr>
        <w:t xml:space="preserve">Никольского сельского поселения </w:t>
      </w:r>
    </w:p>
    <w:p w:rsidR="00FB04DD" w:rsidRPr="00063BE3" w:rsidRDefault="00FB04DD" w:rsidP="00FB04DD">
      <w:pPr>
        <w:widowControl/>
        <w:ind w:left="9639"/>
        <w:rPr>
          <w:rFonts w:ascii="Times New Roman" w:hAnsi="Times New Roman"/>
          <w:sz w:val="24"/>
          <w:szCs w:val="24"/>
        </w:rPr>
      </w:pPr>
      <w:r w:rsidRPr="00FB04DD">
        <w:rPr>
          <w:rFonts w:ascii="Times New Roman" w:hAnsi="Times New Roman"/>
          <w:sz w:val="24"/>
          <w:szCs w:val="24"/>
        </w:rPr>
        <w:t xml:space="preserve">Бобровского муниципального района </w:t>
      </w:r>
    </w:p>
    <w:p w:rsidR="00FB04DD" w:rsidRPr="00FB04DD" w:rsidRDefault="00FB04DD" w:rsidP="00FB04DD">
      <w:pPr>
        <w:widowControl/>
        <w:ind w:left="9639"/>
        <w:rPr>
          <w:rFonts w:ascii="Times New Roman" w:hAnsi="Times New Roman"/>
          <w:sz w:val="28"/>
          <w:szCs w:val="28"/>
        </w:rPr>
      </w:pPr>
      <w:r w:rsidRPr="00FB04DD">
        <w:rPr>
          <w:rFonts w:ascii="Times New Roman" w:hAnsi="Times New Roman"/>
          <w:sz w:val="24"/>
          <w:szCs w:val="24"/>
        </w:rPr>
        <w:t>Воронежской области</w:t>
      </w:r>
      <w:r w:rsidRPr="00FB04DD">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67161D">
              <w:rPr>
                <w:rFonts w:ascii="Times New Roman" w:hAnsi="Times New Roman"/>
              </w:rPr>
              <w:lastRenderedPageBreak/>
              <w:t>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lastRenderedPageBreak/>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w:t>
            </w:r>
            <w:r w:rsidRPr="0067161D">
              <w:rPr>
                <w:rFonts w:ascii="Times New Roman" w:hAnsi="Times New Roman"/>
              </w:rPr>
              <w:lastRenderedPageBreak/>
              <w:t>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lastRenderedPageBreak/>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lastRenderedPageBreak/>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w:t>
            </w:r>
            <w:r w:rsidRPr="0067161D">
              <w:rPr>
                <w:rFonts w:ascii="Times New Roman" w:hAnsi="Times New Roman"/>
              </w:rPr>
              <w:lastRenderedPageBreak/>
              <w:t>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w:t>
            </w:r>
            <w:r w:rsidRPr="0067161D">
              <w:rPr>
                <w:rFonts w:ascii="Times New Roman" w:hAnsi="Times New Roman"/>
              </w:rPr>
              <w:lastRenderedPageBreak/>
              <w:t>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w:t>
            </w:r>
            <w:r w:rsidRPr="0067161D">
              <w:rPr>
                <w:rFonts w:ascii="Times New Roman" w:hAnsi="Times New Roman"/>
              </w:rPr>
              <w:lastRenderedPageBreak/>
              <w:t xml:space="preserve">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4D8" w:rsidRDefault="00DA44D8" w:rsidP="000E7BBF">
      <w:r>
        <w:separator/>
      </w:r>
    </w:p>
  </w:endnote>
  <w:endnote w:type="continuationSeparator" w:id="0">
    <w:p w:rsidR="00DA44D8" w:rsidRDefault="00DA44D8"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4D8" w:rsidRDefault="00DA44D8" w:rsidP="000E7BBF">
      <w:r>
        <w:separator/>
      </w:r>
    </w:p>
  </w:footnote>
  <w:footnote w:type="continuationSeparator" w:id="0">
    <w:p w:rsidR="00DA44D8" w:rsidRDefault="00DA44D8"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26"/>
      <w:docPartObj>
        <w:docPartGallery w:val="Page Numbers (Top of Page)"/>
        <w:docPartUnique/>
      </w:docPartObj>
    </w:sdtPr>
    <w:sdtEndPr/>
    <w:sdtContent>
      <w:p w:rsidR="003A6360" w:rsidRDefault="003A6360">
        <w:pPr>
          <w:pStyle w:val="ab"/>
          <w:jc w:val="center"/>
        </w:pPr>
        <w:r>
          <w:fldChar w:fldCharType="begin"/>
        </w:r>
        <w:r>
          <w:instrText xml:space="preserve"> PAGE   \* MERGEFORMAT </w:instrText>
        </w:r>
        <w:r>
          <w:fldChar w:fldCharType="separate"/>
        </w:r>
        <w:r w:rsidR="002B5873">
          <w:rPr>
            <w:noProof/>
          </w:rPr>
          <w:t>4</w:t>
        </w:r>
        <w:r>
          <w:rPr>
            <w:noProof/>
          </w:rPr>
          <w:fldChar w:fldCharType="end"/>
        </w:r>
      </w:p>
    </w:sdtContent>
  </w:sdt>
  <w:p w:rsidR="003A6360" w:rsidRDefault="003A63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76AB"/>
    <w:rsid w:val="00030B2D"/>
    <w:rsid w:val="0004178C"/>
    <w:rsid w:val="00063BE3"/>
    <w:rsid w:val="00073005"/>
    <w:rsid w:val="000D09E5"/>
    <w:rsid w:val="000E3328"/>
    <w:rsid w:val="000E7BBF"/>
    <w:rsid w:val="00101DA9"/>
    <w:rsid w:val="00123511"/>
    <w:rsid w:val="00133DF1"/>
    <w:rsid w:val="00156FED"/>
    <w:rsid w:val="00166C64"/>
    <w:rsid w:val="00172994"/>
    <w:rsid w:val="001921DB"/>
    <w:rsid w:val="001B18A3"/>
    <w:rsid w:val="001B47B6"/>
    <w:rsid w:val="001B7A53"/>
    <w:rsid w:val="001D575E"/>
    <w:rsid w:val="001F4BF4"/>
    <w:rsid w:val="00241D52"/>
    <w:rsid w:val="00242BBB"/>
    <w:rsid w:val="00251281"/>
    <w:rsid w:val="002731DC"/>
    <w:rsid w:val="00284EC2"/>
    <w:rsid w:val="002A3B33"/>
    <w:rsid w:val="002B5873"/>
    <w:rsid w:val="002C4CF1"/>
    <w:rsid w:val="002D2FB2"/>
    <w:rsid w:val="002F61B9"/>
    <w:rsid w:val="00324F99"/>
    <w:rsid w:val="00325596"/>
    <w:rsid w:val="0033450F"/>
    <w:rsid w:val="00335A2A"/>
    <w:rsid w:val="003509A4"/>
    <w:rsid w:val="00381F21"/>
    <w:rsid w:val="0039201A"/>
    <w:rsid w:val="003A5EAF"/>
    <w:rsid w:val="003A627A"/>
    <w:rsid w:val="003A6360"/>
    <w:rsid w:val="003D4147"/>
    <w:rsid w:val="003E666D"/>
    <w:rsid w:val="003F011E"/>
    <w:rsid w:val="00406EAE"/>
    <w:rsid w:val="00411A4A"/>
    <w:rsid w:val="004166A8"/>
    <w:rsid w:val="004320CB"/>
    <w:rsid w:val="00447252"/>
    <w:rsid w:val="00477305"/>
    <w:rsid w:val="004A7774"/>
    <w:rsid w:val="004B4793"/>
    <w:rsid w:val="004D05F5"/>
    <w:rsid w:val="004D3A51"/>
    <w:rsid w:val="005064B0"/>
    <w:rsid w:val="00525B92"/>
    <w:rsid w:val="00561533"/>
    <w:rsid w:val="00565DB0"/>
    <w:rsid w:val="00570D0F"/>
    <w:rsid w:val="00574994"/>
    <w:rsid w:val="00591AB7"/>
    <w:rsid w:val="005A6752"/>
    <w:rsid w:val="005C2D4E"/>
    <w:rsid w:val="005D5C79"/>
    <w:rsid w:val="005D6D4C"/>
    <w:rsid w:val="005E1BFA"/>
    <w:rsid w:val="00612CA0"/>
    <w:rsid w:val="00625F54"/>
    <w:rsid w:val="00641DD0"/>
    <w:rsid w:val="0067161D"/>
    <w:rsid w:val="0067760F"/>
    <w:rsid w:val="006926F0"/>
    <w:rsid w:val="006A4650"/>
    <w:rsid w:val="006B2ACD"/>
    <w:rsid w:val="006D4ABE"/>
    <w:rsid w:val="006F2EDA"/>
    <w:rsid w:val="00704189"/>
    <w:rsid w:val="00705CC1"/>
    <w:rsid w:val="00707B35"/>
    <w:rsid w:val="007159F8"/>
    <w:rsid w:val="00733FF8"/>
    <w:rsid w:val="00740A3D"/>
    <w:rsid w:val="00775DA7"/>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75CC"/>
    <w:rsid w:val="00881E3B"/>
    <w:rsid w:val="008A1C21"/>
    <w:rsid w:val="008A4EBA"/>
    <w:rsid w:val="008C559A"/>
    <w:rsid w:val="008E79FB"/>
    <w:rsid w:val="008F42E1"/>
    <w:rsid w:val="00907ABC"/>
    <w:rsid w:val="00925BC9"/>
    <w:rsid w:val="0093398A"/>
    <w:rsid w:val="00955D6E"/>
    <w:rsid w:val="009604CE"/>
    <w:rsid w:val="0099433E"/>
    <w:rsid w:val="009A7B68"/>
    <w:rsid w:val="009B4E9F"/>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924A9"/>
    <w:rsid w:val="00BB4A55"/>
    <w:rsid w:val="00BD1ADA"/>
    <w:rsid w:val="00C06AC1"/>
    <w:rsid w:val="00C17A84"/>
    <w:rsid w:val="00C70753"/>
    <w:rsid w:val="00C92C51"/>
    <w:rsid w:val="00CA32E6"/>
    <w:rsid w:val="00CD2977"/>
    <w:rsid w:val="00CD3E8B"/>
    <w:rsid w:val="00CE7007"/>
    <w:rsid w:val="00D03202"/>
    <w:rsid w:val="00D07ED0"/>
    <w:rsid w:val="00D124F0"/>
    <w:rsid w:val="00D34222"/>
    <w:rsid w:val="00D453D4"/>
    <w:rsid w:val="00D51060"/>
    <w:rsid w:val="00D51165"/>
    <w:rsid w:val="00D64DF7"/>
    <w:rsid w:val="00DA44D8"/>
    <w:rsid w:val="00DC14CC"/>
    <w:rsid w:val="00DC3C44"/>
    <w:rsid w:val="00DD2152"/>
    <w:rsid w:val="00DE357E"/>
    <w:rsid w:val="00DE67CE"/>
    <w:rsid w:val="00DE739C"/>
    <w:rsid w:val="00E15E9A"/>
    <w:rsid w:val="00E414E4"/>
    <w:rsid w:val="00E47230"/>
    <w:rsid w:val="00E6451B"/>
    <w:rsid w:val="00E91CD7"/>
    <w:rsid w:val="00EA66DF"/>
    <w:rsid w:val="00EA74D3"/>
    <w:rsid w:val="00EB3507"/>
    <w:rsid w:val="00EB7F3D"/>
    <w:rsid w:val="00EF79A7"/>
    <w:rsid w:val="00F024CF"/>
    <w:rsid w:val="00F0326D"/>
    <w:rsid w:val="00F10AB2"/>
    <w:rsid w:val="00F12C4F"/>
    <w:rsid w:val="00F36AB0"/>
    <w:rsid w:val="00F42CB7"/>
    <w:rsid w:val="00F5561C"/>
    <w:rsid w:val="00F8010E"/>
    <w:rsid w:val="00F97189"/>
    <w:rsid w:val="00FB04DD"/>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D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D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microsoft.com/office/2007/relationships/stylesWithEffects" Target="stylesWithEffect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0906-D86A-4056-9F30-345E38FD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9761</Words>
  <Characters>55643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nikolskoe</cp:lastModifiedBy>
  <cp:revision>3</cp:revision>
  <cp:lastPrinted>2021-09-27T13:31:00Z</cp:lastPrinted>
  <dcterms:created xsi:type="dcterms:W3CDTF">2022-02-17T11:17:00Z</dcterms:created>
  <dcterms:modified xsi:type="dcterms:W3CDTF">2022-02-17T11:20:00Z</dcterms:modified>
</cp:coreProperties>
</file>