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39" w:rsidRDefault="00E27239" w:rsidP="00277462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E27239" w:rsidRPr="00E27239" w:rsidRDefault="00E27239" w:rsidP="00E27239">
      <w:pPr>
        <w:jc w:val="center"/>
        <w:rPr>
          <w:sz w:val="28"/>
          <w:szCs w:val="28"/>
        </w:rPr>
      </w:pPr>
      <w:r w:rsidRPr="00E27239">
        <w:rPr>
          <w:sz w:val="28"/>
          <w:szCs w:val="28"/>
        </w:rPr>
        <w:t>СОВЕТ НАРОДНЫХ ДЕПУТАТОВ НИКОЛЬСКОГО    СЕЛЬСКОГО ПОСЕЛЕНИЯ БОБРОВСКОГО МУНИЦИПАЛЬНОГО РАЙОНА ВОРОНЕЖСКОЙ ОБЛАСТИ</w:t>
      </w:r>
    </w:p>
    <w:p w:rsidR="00E27239" w:rsidRPr="00E27239" w:rsidRDefault="00E27239" w:rsidP="00E27239">
      <w:pPr>
        <w:rPr>
          <w:sz w:val="32"/>
          <w:szCs w:val="32"/>
        </w:rPr>
      </w:pPr>
      <w:r w:rsidRPr="00E27239">
        <w:rPr>
          <w:sz w:val="32"/>
          <w:szCs w:val="32"/>
        </w:rPr>
        <w:t xml:space="preserve"> </w:t>
      </w:r>
    </w:p>
    <w:p w:rsidR="00E27239" w:rsidRPr="00E27239" w:rsidRDefault="00E27239" w:rsidP="00E27239">
      <w:pPr>
        <w:keepNext/>
        <w:jc w:val="center"/>
        <w:outlineLvl w:val="2"/>
        <w:rPr>
          <w:sz w:val="32"/>
          <w:szCs w:val="32"/>
        </w:rPr>
      </w:pPr>
      <w:r w:rsidRPr="00E27239">
        <w:rPr>
          <w:sz w:val="32"/>
          <w:szCs w:val="32"/>
        </w:rPr>
        <w:t>Р Е Ш Е Н И Е</w:t>
      </w:r>
    </w:p>
    <w:p w:rsidR="00E27239" w:rsidRPr="00E27239" w:rsidRDefault="00E27239" w:rsidP="00E27239">
      <w:pPr>
        <w:rPr>
          <w:sz w:val="32"/>
          <w:szCs w:val="32"/>
        </w:rPr>
      </w:pPr>
    </w:p>
    <w:p w:rsidR="00E27239" w:rsidRPr="00E27239" w:rsidRDefault="00BE7389" w:rsidP="00E27239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 15</w:t>
      </w:r>
      <w:r w:rsidR="00E27239">
        <w:rPr>
          <w:sz w:val="28"/>
          <w:szCs w:val="28"/>
          <w:u w:val="single"/>
        </w:rPr>
        <w:t>.11.2022</w:t>
      </w:r>
      <w:r w:rsidR="00E27239" w:rsidRPr="00E27239">
        <w:rPr>
          <w:sz w:val="28"/>
          <w:szCs w:val="28"/>
          <w:u w:val="single"/>
        </w:rPr>
        <w:t xml:space="preserve">  года</w:t>
      </w:r>
      <w:r w:rsidR="00E27239" w:rsidRPr="00E27239">
        <w:rPr>
          <w:sz w:val="28"/>
          <w:szCs w:val="28"/>
        </w:rPr>
        <w:t xml:space="preserve">   </w:t>
      </w:r>
      <w:r w:rsidR="00653A71">
        <w:rPr>
          <w:sz w:val="28"/>
          <w:szCs w:val="28"/>
        </w:rPr>
        <w:t xml:space="preserve">                            № 3</w:t>
      </w:r>
      <w:r w:rsidR="00E27239">
        <w:rPr>
          <w:sz w:val="28"/>
          <w:szCs w:val="28"/>
        </w:rPr>
        <w:t>0</w:t>
      </w:r>
    </w:p>
    <w:p w:rsidR="00E27239" w:rsidRPr="00E27239" w:rsidRDefault="00E27239" w:rsidP="00E27239">
      <w:r w:rsidRPr="00E27239">
        <w:t xml:space="preserve">      с. Никольское 2-е</w:t>
      </w:r>
    </w:p>
    <w:p w:rsidR="00E27239" w:rsidRPr="00E27239" w:rsidRDefault="00E27239" w:rsidP="00E27239">
      <w:pPr>
        <w:rPr>
          <w:sz w:val="28"/>
          <w:szCs w:val="28"/>
        </w:rPr>
      </w:pPr>
    </w:p>
    <w:p w:rsidR="00E27239" w:rsidRPr="00E27239" w:rsidRDefault="00E27239" w:rsidP="00E27239">
      <w:pPr>
        <w:ind w:right="4110"/>
        <w:jc w:val="both"/>
        <w:rPr>
          <w:sz w:val="28"/>
          <w:szCs w:val="28"/>
        </w:rPr>
      </w:pPr>
      <w:r w:rsidRPr="00E27239">
        <w:rPr>
          <w:sz w:val="28"/>
          <w:szCs w:val="28"/>
        </w:rPr>
        <w:t xml:space="preserve">О назначении  публичных слушаний по проекту бюджета Никольского сельского поселения Бобровского муниципального района Воронежской области </w:t>
      </w:r>
      <w:r>
        <w:rPr>
          <w:sz w:val="28"/>
          <w:szCs w:val="28"/>
        </w:rPr>
        <w:t>на 2023 год и на плановый период 2024 и 2025</w:t>
      </w:r>
      <w:r w:rsidRPr="00E27239">
        <w:rPr>
          <w:sz w:val="28"/>
          <w:szCs w:val="28"/>
        </w:rPr>
        <w:t xml:space="preserve"> годов</w:t>
      </w:r>
    </w:p>
    <w:p w:rsidR="00E27239" w:rsidRPr="00E27239" w:rsidRDefault="00E27239" w:rsidP="00E27239">
      <w:pPr>
        <w:rPr>
          <w:sz w:val="28"/>
          <w:szCs w:val="28"/>
        </w:rPr>
      </w:pPr>
    </w:p>
    <w:p w:rsidR="00E27239" w:rsidRPr="00E27239" w:rsidRDefault="00E27239" w:rsidP="00E27239">
      <w:pPr>
        <w:keepNext/>
        <w:spacing w:line="360" w:lineRule="auto"/>
        <w:jc w:val="both"/>
        <w:outlineLvl w:val="3"/>
        <w:rPr>
          <w:b/>
          <w:bCs/>
          <w:spacing w:val="70"/>
          <w:sz w:val="28"/>
          <w:szCs w:val="28"/>
        </w:rPr>
      </w:pPr>
      <w:r w:rsidRPr="00E27239">
        <w:rPr>
          <w:b/>
          <w:bCs/>
          <w:sz w:val="28"/>
          <w:szCs w:val="28"/>
        </w:rPr>
        <w:tab/>
        <w:t xml:space="preserve">   </w:t>
      </w:r>
      <w:r w:rsidRPr="00E27239">
        <w:rPr>
          <w:bCs/>
          <w:sz w:val="28"/>
          <w:szCs w:val="28"/>
        </w:rPr>
        <w:t xml:space="preserve">В целях приведения бюджета Никольского сельского поселения Бобровского муниципального района Воронежской области в соответствие с действующим законодательством,  </w:t>
      </w:r>
      <w:r w:rsidRPr="00E27239">
        <w:rPr>
          <w:b/>
          <w:bCs/>
          <w:sz w:val="28"/>
          <w:szCs w:val="28"/>
        </w:rPr>
        <w:t xml:space="preserve"> </w:t>
      </w:r>
      <w:r w:rsidRPr="00E27239">
        <w:rPr>
          <w:bCs/>
          <w:sz w:val="28"/>
          <w:szCs w:val="28"/>
        </w:rPr>
        <w:t xml:space="preserve">Совет народных депутатов Никольского сельского поселения Бобровского муниципального района Воронежской области </w:t>
      </w:r>
      <w:r w:rsidRPr="00E27239">
        <w:rPr>
          <w:b/>
          <w:bCs/>
          <w:sz w:val="28"/>
          <w:szCs w:val="28"/>
        </w:rPr>
        <w:t xml:space="preserve"> </w:t>
      </w:r>
      <w:r w:rsidRPr="00E27239">
        <w:rPr>
          <w:b/>
          <w:bCs/>
          <w:spacing w:val="70"/>
          <w:sz w:val="28"/>
          <w:szCs w:val="28"/>
        </w:rPr>
        <w:t>решил:</w:t>
      </w:r>
    </w:p>
    <w:p w:rsidR="00E27239" w:rsidRPr="00E27239" w:rsidRDefault="00E27239" w:rsidP="00E27239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E27239">
        <w:rPr>
          <w:bCs/>
          <w:sz w:val="28"/>
          <w:szCs w:val="28"/>
        </w:rPr>
        <w:t xml:space="preserve">             </w:t>
      </w:r>
      <w:r w:rsidRPr="00E27239">
        <w:rPr>
          <w:sz w:val="28"/>
          <w:szCs w:val="28"/>
        </w:rPr>
        <w:t xml:space="preserve">1.  Провести  </w:t>
      </w:r>
      <w:r w:rsidR="00653A71">
        <w:rPr>
          <w:sz w:val="28"/>
          <w:szCs w:val="28"/>
        </w:rPr>
        <w:t>16</w:t>
      </w:r>
      <w:r w:rsidRPr="00E27239">
        <w:rPr>
          <w:sz w:val="28"/>
          <w:szCs w:val="28"/>
        </w:rPr>
        <w:t xml:space="preserve"> декабря  20</w:t>
      </w:r>
      <w:r>
        <w:rPr>
          <w:sz w:val="28"/>
          <w:szCs w:val="28"/>
        </w:rPr>
        <w:t>22</w:t>
      </w:r>
      <w:r w:rsidRPr="00E27239">
        <w:rPr>
          <w:sz w:val="28"/>
          <w:szCs w:val="28"/>
        </w:rPr>
        <w:t xml:space="preserve">  года в 10-00 часов публичные слушания по проекту бюджета Никольского сельского поселения  Бобровского муниципального района Воронежской области</w:t>
      </w:r>
      <w:r>
        <w:rPr>
          <w:sz w:val="28"/>
          <w:szCs w:val="28"/>
        </w:rPr>
        <w:t xml:space="preserve"> на 2023 год и на плановый период 2024 и 2025</w:t>
      </w:r>
      <w:r w:rsidRPr="00E27239">
        <w:rPr>
          <w:sz w:val="28"/>
          <w:szCs w:val="28"/>
        </w:rPr>
        <w:t xml:space="preserve"> годов, в здании СДК по адресу: село Никольское 2-е, ул. Мира, д. 2-А.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sz w:val="28"/>
          <w:szCs w:val="28"/>
        </w:rPr>
        <w:tab/>
      </w:r>
      <w:r w:rsidRPr="00E27239">
        <w:rPr>
          <w:bCs/>
          <w:sz w:val="28"/>
          <w:szCs w:val="28"/>
        </w:rPr>
        <w:t xml:space="preserve">    2. Утвердить комиссию по подготовке и проведению публичных слушаний по проекту бюджета Никольского сельского поселения Бобровского муниципального ра</w:t>
      </w:r>
      <w:r>
        <w:rPr>
          <w:bCs/>
          <w:sz w:val="28"/>
          <w:szCs w:val="28"/>
        </w:rPr>
        <w:t>йона Воронежской области на 2023 год и на плановый период 2024 и 2025</w:t>
      </w:r>
      <w:r w:rsidRPr="00E27239">
        <w:rPr>
          <w:bCs/>
          <w:sz w:val="28"/>
          <w:szCs w:val="28"/>
        </w:rPr>
        <w:t xml:space="preserve"> годов в составе: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  - Машошин В.Н. – глава Никольского сельского поселения, председатель комиссии;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 - Семенова Л.В. – депутат Совета народных депутатов Никольского сельского поселения, заместитель председателя комиссии;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- Козин А.П. - депутат Совета народных депутатов Никольского сельского поселения, член комиссии;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lastRenderedPageBreak/>
        <w:t xml:space="preserve">           -  Елина Н.Н. - депутат Совета народных депутатов Никольского сельского поселения, член комиссии;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- Жердева Е.А. - депутат Совета народных депутатов Никольского сельского поселения, секретарь комиссии.  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3. Обязать созданную комиссию обеспечить ознакомление с проектом решения всех желающих.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4. Определить следующий порядок участия в обсуждении проекта решения Совета народных депутатов Никольского сельского поселения Бобровского муниципального района Воронежской области «Об утверждении бюджета Никольского сельского поселения Бобровского муниципального района Воронежской области на 2023 год и на плановый период 2024 и 2025 годов»: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4.1. Граждане имеют право направить замечания и предложения по данному вопросу, принять участие в публичных слушаниях;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4.2.  Замечания и предложения принимаются в течение 30 дней со дня обнародования по адресу: с. Никольское 2-е, ул. Мира, д. 2-А, тел.57-6-45, 57-6-81;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5. Заключение о результатах публичных слушаний обнародовать.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6. Комиссии подготовить и провести публичные слушания, рассмотреть и систематизировать все замечания и предложения, сделать по ним заключение и представить на рассмотрение Совета народных депутатов Никольского сельского поселения.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7.  Настоящее решение вступает в силу со дня его обнародования.</w:t>
      </w: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</w:p>
    <w:p w:rsidR="00E27239" w:rsidRPr="00E27239" w:rsidRDefault="00E27239" w:rsidP="00E27239">
      <w:pPr>
        <w:spacing w:line="360" w:lineRule="auto"/>
        <w:jc w:val="both"/>
        <w:rPr>
          <w:bCs/>
          <w:sz w:val="28"/>
          <w:szCs w:val="28"/>
        </w:rPr>
      </w:pPr>
    </w:p>
    <w:p w:rsidR="00E27239" w:rsidRPr="00E27239" w:rsidRDefault="00E27239" w:rsidP="00E27239">
      <w:pPr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>Глава Никольского сельского поселения</w:t>
      </w:r>
    </w:p>
    <w:p w:rsidR="00E27239" w:rsidRPr="00E27239" w:rsidRDefault="00E27239" w:rsidP="00E27239">
      <w:pPr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>Бобровского муниципального района</w:t>
      </w:r>
    </w:p>
    <w:p w:rsidR="00E27239" w:rsidRPr="00E27239" w:rsidRDefault="00E27239" w:rsidP="00E27239">
      <w:pPr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>Воронежской области                                                                     В.Н. Машошин</w:t>
      </w:r>
    </w:p>
    <w:p w:rsidR="00E27239" w:rsidRDefault="00E27239" w:rsidP="00277462">
      <w:pPr>
        <w:jc w:val="right"/>
        <w:rPr>
          <w:b/>
          <w:sz w:val="26"/>
          <w:szCs w:val="26"/>
        </w:rPr>
      </w:pPr>
    </w:p>
    <w:p w:rsidR="00277462" w:rsidRDefault="00277462" w:rsidP="0027746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проект</w:t>
      </w:r>
    </w:p>
    <w:p w:rsidR="00653A71" w:rsidRPr="00E27239" w:rsidRDefault="00653A71" w:rsidP="00653A71">
      <w:pPr>
        <w:jc w:val="center"/>
        <w:rPr>
          <w:sz w:val="28"/>
          <w:szCs w:val="28"/>
        </w:rPr>
      </w:pPr>
      <w:r w:rsidRPr="00E27239">
        <w:rPr>
          <w:sz w:val="28"/>
          <w:szCs w:val="28"/>
        </w:rPr>
        <w:t>СОВЕТ НАРОДНЫХ ДЕПУТАТОВ НИКОЛЬСКОГО    СЕЛЬСКОГО ПОСЕЛЕНИЯ БОБРОВСКОГО МУНИЦИПАЛЬНОГО РАЙОНА ВОРОНЕЖСКОЙ ОБЛАСТИ</w:t>
      </w:r>
    </w:p>
    <w:p w:rsidR="00653A71" w:rsidRPr="00E27239" w:rsidRDefault="00653A71" w:rsidP="00653A71">
      <w:pPr>
        <w:rPr>
          <w:sz w:val="32"/>
          <w:szCs w:val="32"/>
        </w:rPr>
      </w:pPr>
      <w:r w:rsidRPr="00E27239">
        <w:rPr>
          <w:sz w:val="32"/>
          <w:szCs w:val="32"/>
        </w:rPr>
        <w:t xml:space="preserve"> </w:t>
      </w:r>
    </w:p>
    <w:p w:rsidR="00653A71" w:rsidRPr="00E27239" w:rsidRDefault="00653A71" w:rsidP="00653A71">
      <w:pPr>
        <w:keepNext/>
        <w:jc w:val="center"/>
        <w:outlineLvl w:val="2"/>
        <w:rPr>
          <w:sz w:val="32"/>
          <w:szCs w:val="32"/>
        </w:rPr>
      </w:pPr>
      <w:r w:rsidRPr="00E27239">
        <w:rPr>
          <w:sz w:val="32"/>
          <w:szCs w:val="32"/>
        </w:rPr>
        <w:t>Р Е Ш Е Н И Е</w:t>
      </w:r>
    </w:p>
    <w:p w:rsidR="00653A71" w:rsidRPr="00E27239" w:rsidRDefault="00653A71" w:rsidP="00653A71">
      <w:pPr>
        <w:rPr>
          <w:sz w:val="32"/>
          <w:szCs w:val="32"/>
        </w:rPr>
      </w:pPr>
    </w:p>
    <w:p w:rsidR="00653A71" w:rsidRPr="00E27239" w:rsidRDefault="00653A71" w:rsidP="00653A71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 00.12.2022</w:t>
      </w:r>
      <w:r w:rsidRPr="00E27239">
        <w:rPr>
          <w:sz w:val="28"/>
          <w:szCs w:val="28"/>
          <w:u w:val="single"/>
        </w:rPr>
        <w:t xml:space="preserve">  года</w:t>
      </w:r>
      <w:r w:rsidRPr="00E272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00</w:t>
      </w:r>
    </w:p>
    <w:p w:rsidR="00653A71" w:rsidRPr="00E27239" w:rsidRDefault="00653A71" w:rsidP="00653A71">
      <w:r w:rsidRPr="00E27239">
        <w:t xml:space="preserve">      с. Никольское 2-е</w:t>
      </w:r>
    </w:p>
    <w:p w:rsidR="00653A71" w:rsidRPr="00E27239" w:rsidRDefault="00653A71" w:rsidP="00653A71">
      <w:pPr>
        <w:rPr>
          <w:sz w:val="28"/>
          <w:szCs w:val="28"/>
        </w:rPr>
      </w:pPr>
    </w:p>
    <w:p w:rsidR="001923FA" w:rsidRPr="001D6226" w:rsidRDefault="006A30AC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r w:rsidR="00F059FF">
        <w:rPr>
          <w:b/>
          <w:sz w:val="26"/>
          <w:szCs w:val="26"/>
        </w:rPr>
        <w:t>Никольского</w:t>
      </w:r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647BDC">
        <w:rPr>
          <w:b/>
          <w:sz w:val="26"/>
          <w:szCs w:val="26"/>
        </w:rPr>
        <w:t>3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Pr="001D6226">
        <w:rPr>
          <w:b/>
          <w:sz w:val="26"/>
          <w:szCs w:val="26"/>
        </w:rPr>
        <w:t xml:space="preserve"> </w:t>
      </w:r>
      <w:r w:rsidR="00776FED" w:rsidRPr="001D6226">
        <w:rPr>
          <w:b/>
          <w:sz w:val="26"/>
          <w:szCs w:val="26"/>
        </w:rPr>
        <w:t xml:space="preserve">на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647BDC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647BDC">
        <w:rPr>
          <w:b/>
          <w:sz w:val="26"/>
          <w:szCs w:val="26"/>
        </w:rPr>
        <w:t>5</w:t>
      </w:r>
      <w:r w:rsidR="002616B1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  <w:r w:rsidR="008E2C00" w:rsidRPr="001D6226">
        <w:rPr>
          <w:b/>
          <w:sz w:val="26"/>
          <w:szCs w:val="26"/>
        </w:rPr>
        <w:t>.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r w:rsidR="00F059FF">
        <w:rPr>
          <w:b/>
          <w:sz w:val="26"/>
          <w:szCs w:val="26"/>
        </w:rPr>
        <w:t>Никольского</w:t>
      </w:r>
      <w:r w:rsidR="00F059FF" w:rsidRPr="001D6226">
        <w:rPr>
          <w:b/>
          <w:sz w:val="26"/>
          <w:szCs w:val="26"/>
        </w:rPr>
        <w:t xml:space="preserve"> </w:t>
      </w:r>
      <w:r w:rsidR="00FF069F" w:rsidRPr="001D6226">
        <w:rPr>
          <w:b/>
          <w:sz w:val="26"/>
          <w:szCs w:val="26"/>
        </w:rPr>
        <w:t>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647BDC">
        <w:rPr>
          <w:b/>
          <w:sz w:val="26"/>
          <w:szCs w:val="26"/>
        </w:rPr>
        <w:t>3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647BDC">
        <w:rPr>
          <w:b/>
          <w:sz w:val="26"/>
          <w:szCs w:val="26"/>
        </w:rPr>
        <w:t>4</w:t>
      </w:r>
      <w:r w:rsidR="00CA1B07" w:rsidRPr="001D6226">
        <w:rPr>
          <w:b/>
          <w:sz w:val="26"/>
          <w:szCs w:val="26"/>
        </w:rPr>
        <w:t xml:space="preserve"> и 202</w:t>
      </w:r>
      <w:r w:rsidR="00647BDC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647BDC">
        <w:rPr>
          <w:sz w:val="26"/>
          <w:szCs w:val="26"/>
        </w:rPr>
        <w:t>3824,3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1748,4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1033,4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113,3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601,7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647BDC">
        <w:rPr>
          <w:sz w:val="26"/>
          <w:szCs w:val="26"/>
        </w:rPr>
        <w:t>3974,3</w:t>
      </w:r>
      <w:r w:rsidR="00ED2C35" w:rsidRPr="001D6226">
        <w:rPr>
          <w:sz w:val="26"/>
          <w:szCs w:val="26"/>
        </w:rPr>
        <w:t xml:space="preserve"> тыс. рублей</w:t>
      </w:r>
      <w:r w:rsidR="0015425A">
        <w:rPr>
          <w:sz w:val="26"/>
          <w:szCs w:val="26"/>
        </w:rPr>
        <w:t>, дефицит составит 150,0 тыс. руб.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</w:t>
      </w:r>
      <w:r w:rsidR="00CA1B07" w:rsidRPr="001D6226">
        <w:rPr>
          <w:sz w:val="26"/>
          <w:szCs w:val="26"/>
        </w:rPr>
        <w:t>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47BDC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r w:rsidR="00F059FF" w:rsidRPr="00F059FF">
        <w:rPr>
          <w:sz w:val="26"/>
          <w:szCs w:val="26"/>
        </w:rPr>
        <w:t>Никольского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47BDC">
        <w:rPr>
          <w:sz w:val="26"/>
          <w:szCs w:val="26"/>
        </w:rPr>
        <w:t>4</w:t>
      </w:r>
      <w:r w:rsidR="00277462" w:rsidRPr="001D6226">
        <w:rPr>
          <w:sz w:val="26"/>
          <w:szCs w:val="26"/>
        </w:rPr>
        <w:t xml:space="preserve"> год и на 202</w:t>
      </w:r>
      <w:r w:rsidR="00647BDC">
        <w:rPr>
          <w:sz w:val="26"/>
          <w:szCs w:val="26"/>
        </w:rPr>
        <w:t>5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47BDC">
        <w:rPr>
          <w:sz w:val="26"/>
          <w:szCs w:val="26"/>
        </w:rPr>
        <w:t>4</w:t>
      </w:r>
      <w:r w:rsidR="00E6078D" w:rsidRPr="001D6226">
        <w:rPr>
          <w:sz w:val="26"/>
          <w:szCs w:val="26"/>
        </w:rPr>
        <w:t xml:space="preserve">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3635,8</w:t>
      </w:r>
      <w:r w:rsidR="000C256E" w:rsidRPr="001D6226">
        <w:rPr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647BDC">
        <w:rPr>
          <w:color w:val="000000"/>
          <w:sz w:val="26"/>
          <w:szCs w:val="26"/>
        </w:rPr>
        <w:t>1241,1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647BDC">
        <w:rPr>
          <w:sz w:val="26"/>
          <w:szCs w:val="26"/>
        </w:rPr>
        <w:t>1022,7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118,4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525F7B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647BDC">
        <w:rPr>
          <w:color w:val="000000"/>
          <w:sz w:val="26"/>
          <w:szCs w:val="26"/>
        </w:rPr>
        <w:t>5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3685,2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рублей, в том числе безвозмездные поступления в сумме </w:t>
      </w:r>
      <w:r w:rsidR="00647BDC">
        <w:rPr>
          <w:sz w:val="26"/>
          <w:szCs w:val="26"/>
        </w:rPr>
        <w:t>1280,5</w:t>
      </w:r>
      <w:r w:rsidR="000C256E" w:rsidRPr="001D6226">
        <w:rPr>
          <w:color w:val="FF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>тыс. рублей</w:t>
      </w:r>
      <w:r w:rsidR="008056F2" w:rsidRPr="001D6226">
        <w:rPr>
          <w:color w:val="000000"/>
          <w:sz w:val="26"/>
          <w:szCs w:val="26"/>
        </w:rPr>
        <w:t>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647BDC">
        <w:rPr>
          <w:sz w:val="26"/>
          <w:szCs w:val="26"/>
        </w:rPr>
        <w:t>1057,8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27746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122,7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  <w:r w:rsidR="00525F7B">
        <w:rPr>
          <w:sz w:val="26"/>
          <w:szCs w:val="26"/>
        </w:rPr>
        <w:t xml:space="preserve"> 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5295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lastRenderedPageBreak/>
        <w:t>2</w:t>
      </w:r>
      <w:r w:rsidR="00B177DD" w:rsidRPr="001D6226">
        <w:rPr>
          <w:sz w:val="26"/>
          <w:szCs w:val="26"/>
        </w:rPr>
        <w:t>.</w:t>
      </w:r>
      <w:r w:rsidR="00525F7B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647BDC">
        <w:rPr>
          <w:sz w:val="26"/>
          <w:szCs w:val="26"/>
        </w:rPr>
        <w:t>4</w:t>
      </w:r>
      <w:r w:rsidR="00F74FEF" w:rsidRPr="001D6226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3547,9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расходы – </w:t>
      </w:r>
      <w:r w:rsidR="00647BDC">
        <w:rPr>
          <w:sz w:val="26"/>
          <w:szCs w:val="26"/>
        </w:rPr>
        <w:t>87,9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647BDC">
        <w:rPr>
          <w:sz w:val="26"/>
          <w:szCs w:val="26"/>
        </w:rPr>
        <w:t>5</w:t>
      </w:r>
      <w:r w:rsidR="00F74FEF" w:rsidRPr="00F56591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3507,1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647BDC">
        <w:rPr>
          <w:sz w:val="26"/>
          <w:szCs w:val="26"/>
        </w:rPr>
        <w:t>178,1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</w:t>
      </w:r>
      <w:r w:rsidR="0008070C"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="0008070C" w:rsidRPr="00F059FF">
        <w:rPr>
          <w:b/>
          <w:sz w:val="26"/>
          <w:szCs w:val="26"/>
        </w:rPr>
        <w:t xml:space="preserve"> сельского</w:t>
      </w:r>
      <w:r w:rsidR="0008070C" w:rsidRPr="001D6226">
        <w:rPr>
          <w:b/>
          <w:sz w:val="26"/>
          <w:szCs w:val="26"/>
        </w:rPr>
        <w:t xml:space="preserve">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647BDC">
        <w:rPr>
          <w:b/>
          <w:sz w:val="26"/>
          <w:szCs w:val="26"/>
        </w:rPr>
        <w:t>3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647BDC">
        <w:rPr>
          <w:b/>
          <w:sz w:val="26"/>
          <w:szCs w:val="26"/>
        </w:rPr>
        <w:t>4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647BDC">
        <w:rPr>
          <w:b/>
          <w:sz w:val="26"/>
          <w:szCs w:val="26"/>
        </w:rPr>
        <w:t>5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647BDC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0A649D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 xml:space="preserve">юджетные </w:t>
      </w:r>
      <w:r w:rsidRPr="0046691B">
        <w:rPr>
          <w:b/>
          <w:sz w:val="26"/>
          <w:szCs w:val="26"/>
        </w:rPr>
        <w:t>ассиг</w:t>
      </w:r>
      <w:r w:rsidR="008C697B" w:rsidRPr="0046691B">
        <w:rPr>
          <w:b/>
          <w:sz w:val="26"/>
          <w:szCs w:val="26"/>
        </w:rPr>
        <w:t>н</w:t>
      </w:r>
      <w:r w:rsidR="00396032" w:rsidRPr="0046691B">
        <w:rPr>
          <w:b/>
          <w:sz w:val="26"/>
          <w:szCs w:val="26"/>
        </w:rPr>
        <w:t xml:space="preserve">ования бюджета </w:t>
      </w:r>
      <w:r w:rsidR="00F059FF" w:rsidRPr="0046691B">
        <w:rPr>
          <w:b/>
          <w:sz w:val="26"/>
          <w:szCs w:val="26"/>
        </w:rPr>
        <w:t>Никольского</w:t>
      </w:r>
      <w:r w:rsidR="00B177DD" w:rsidRPr="0046691B">
        <w:rPr>
          <w:b/>
          <w:sz w:val="26"/>
          <w:szCs w:val="26"/>
        </w:rPr>
        <w:t xml:space="preserve"> сельского</w:t>
      </w:r>
      <w:r w:rsidR="00B177DD" w:rsidRPr="001D6226">
        <w:rPr>
          <w:b/>
          <w:sz w:val="26"/>
          <w:szCs w:val="26"/>
        </w:rPr>
        <w:t xml:space="preserve"> </w:t>
      </w:r>
      <w:r w:rsidR="00CA1B07" w:rsidRPr="001D6226">
        <w:rPr>
          <w:b/>
          <w:sz w:val="26"/>
          <w:szCs w:val="26"/>
        </w:rPr>
        <w:t>поселения на 202</w:t>
      </w:r>
      <w:r w:rsidR="00647BDC">
        <w:rPr>
          <w:b/>
          <w:sz w:val="26"/>
          <w:szCs w:val="26"/>
        </w:rPr>
        <w:t>3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647BDC">
        <w:rPr>
          <w:b/>
          <w:sz w:val="26"/>
          <w:szCs w:val="26"/>
        </w:rPr>
        <w:t>4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647BDC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47BDC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647BDC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r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647BDC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647BDC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525F7B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Бобровского муниципального района Воронежской области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647BDC">
        <w:rPr>
          <w:sz w:val="26"/>
          <w:szCs w:val="26"/>
        </w:rPr>
        <w:t>3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4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</w:p>
    <w:p w:rsidR="00525F7B" w:rsidRPr="00163AD5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>3.4. Утвердить распределение межбюджетных трансфертов бюджету Бобровского муниципального района Воронежской области на 202</w:t>
      </w:r>
      <w:r w:rsidR="00647BDC">
        <w:rPr>
          <w:sz w:val="26"/>
          <w:szCs w:val="26"/>
        </w:rPr>
        <w:t>3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1130,0</w:t>
      </w:r>
      <w:r w:rsidRPr="00163AD5">
        <w:rPr>
          <w:sz w:val="26"/>
          <w:szCs w:val="26"/>
        </w:rPr>
        <w:t xml:space="preserve"> тыс. рублей, на 202</w:t>
      </w:r>
      <w:r w:rsidR="00647BDC">
        <w:rPr>
          <w:sz w:val="26"/>
          <w:szCs w:val="26"/>
        </w:rPr>
        <w:t>4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1151,7</w:t>
      </w:r>
      <w:r w:rsidRPr="00163AD5">
        <w:rPr>
          <w:sz w:val="26"/>
          <w:szCs w:val="26"/>
        </w:rPr>
        <w:t xml:space="preserve"> тыс. рублей, на 202</w:t>
      </w:r>
      <w:r w:rsidR="0015425A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1216,0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r w:rsidR="00361FC9" w:rsidRPr="00F059FF">
        <w:rPr>
          <w:sz w:val="26"/>
          <w:szCs w:val="26"/>
        </w:rPr>
        <w:t>Никольского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525F7B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</w:t>
      </w:r>
      <w:r w:rsidR="0015425A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361FC9">
        <w:rPr>
          <w:sz w:val="26"/>
          <w:szCs w:val="26"/>
        </w:rPr>
        <w:t>0,0</w:t>
      </w:r>
      <w:r w:rsidRPr="003240D5">
        <w:rPr>
          <w:sz w:val="26"/>
          <w:szCs w:val="26"/>
        </w:rPr>
        <w:t>тыс</w:t>
      </w:r>
      <w:r w:rsidRPr="00C04344">
        <w:rPr>
          <w:sz w:val="26"/>
          <w:szCs w:val="26"/>
        </w:rPr>
        <w:t>. рублей, на 202</w:t>
      </w:r>
      <w:r w:rsidR="0015425A">
        <w:rPr>
          <w:sz w:val="26"/>
          <w:szCs w:val="26"/>
        </w:rPr>
        <w:t>4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15425A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15425A" w:rsidRDefault="0015425A" w:rsidP="00525F7B">
      <w:pPr>
        <w:ind w:right="-284" w:firstLine="709"/>
        <w:jc w:val="both"/>
        <w:rPr>
          <w:sz w:val="26"/>
          <w:szCs w:val="26"/>
        </w:rPr>
      </w:pPr>
      <w:r>
        <w:rPr>
          <w:sz w:val="27"/>
          <w:szCs w:val="27"/>
        </w:rPr>
        <w:lastRenderedPageBreak/>
        <w:t xml:space="preserve">3.6. </w:t>
      </w:r>
      <w:r w:rsidRPr="00DB419B">
        <w:rPr>
          <w:sz w:val="27"/>
          <w:szCs w:val="27"/>
        </w:rPr>
        <w:t xml:space="preserve">Утвердить общий объем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>
        <w:rPr>
          <w:sz w:val="27"/>
          <w:szCs w:val="27"/>
        </w:rPr>
        <w:t>на 2023</w:t>
      </w:r>
      <w:r w:rsidRPr="00DB419B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78</w:t>
      </w:r>
      <w:r w:rsidRPr="00DB419B">
        <w:rPr>
          <w:sz w:val="27"/>
          <w:szCs w:val="27"/>
        </w:rPr>
        <w:t>,75</w:t>
      </w:r>
      <w:r>
        <w:rPr>
          <w:sz w:val="27"/>
          <w:szCs w:val="27"/>
        </w:rPr>
        <w:t xml:space="preserve"> тыс. рублей, на 2024</w:t>
      </w:r>
      <w:r w:rsidRPr="00DB419B">
        <w:rPr>
          <w:sz w:val="27"/>
          <w:szCs w:val="27"/>
        </w:rPr>
        <w:t xml:space="preserve"> год в</w:t>
      </w:r>
      <w:r>
        <w:rPr>
          <w:sz w:val="27"/>
          <w:szCs w:val="27"/>
        </w:rPr>
        <w:t xml:space="preserve"> сумме 0,0 тыс. рублей и на 2025</w:t>
      </w:r>
      <w:r w:rsidRPr="00DB419B">
        <w:rPr>
          <w:color w:val="000000"/>
          <w:sz w:val="27"/>
          <w:szCs w:val="27"/>
        </w:rPr>
        <w:t xml:space="preserve"> год </w:t>
      </w:r>
      <w:r>
        <w:rPr>
          <w:color w:val="000000"/>
          <w:sz w:val="27"/>
          <w:szCs w:val="27"/>
        </w:rPr>
        <w:t>в сумме 0,0</w:t>
      </w:r>
      <w:r w:rsidRPr="00DB419B">
        <w:rPr>
          <w:color w:val="000000"/>
          <w:sz w:val="27"/>
          <w:szCs w:val="27"/>
        </w:rPr>
        <w:t xml:space="preserve"> тыс. рублей. Использование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</w:t>
      </w:r>
      <w:r w:rsidRPr="00DB419B">
        <w:rPr>
          <w:sz w:val="27"/>
          <w:szCs w:val="27"/>
        </w:rPr>
        <w:tab/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F059FF" w:rsidRPr="0046691B">
        <w:rPr>
          <w:b/>
          <w:sz w:val="26"/>
          <w:szCs w:val="26"/>
        </w:rPr>
        <w:t>Никольского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3C41B6" w:rsidRPr="003F6C9D" w:rsidRDefault="003C41B6" w:rsidP="003C41B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.1 Органы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не в праве принимать решения</w:t>
      </w:r>
      <w:r>
        <w:rPr>
          <w:sz w:val="26"/>
          <w:szCs w:val="26"/>
        </w:rPr>
        <w:t>, приводящие к увеличению в 202</w:t>
      </w:r>
      <w:r w:rsidR="0015425A">
        <w:rPr>
          <w:sz w:val="26"/>
          <w:szCs w:val="26"/>
        </w:rPr>
        <w:t>3</w:t>
      </w:r>
      <w:r w:rsidRPr="003F6C9D">
        <w:rPr>
          <w:sz w:val="26"/>
          <w:szCs w:val="26"/>
        </w:rPr>
        <w:t xml:space="preserve"> году численности муниципальных служащих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>
        <w:rPr>
          <w:sz w:val="26"/>
          <w:szCs w:val="26"/>
        </w:rPr>
        <w:t xml:space="preserve"> муниципальных</w:t>
      </w:r>
      <w:r w:rsidRPr="003F6C9D">
        <w:rPr>
          <w:sz w:val="26"/>
          <w:szCs w:val="26"/>
        </w:rPr>
        <w:t xml:space="preserve"> казенных учреждений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>
        <w:rPr>
          <w:sz w:val="26"/>
          <w:szCs w:val="26"/>
        </w:rPr>
        <w:t xml:space="preserve"> установленных федеральным и областным законодательством</w:t>
      </w:r>
      <w:r w:rsidRPr="003F6C9D">
        <w:rPr>
          <w:sz w:val="26"/>
          <w:szCs w:val="26"/>
        </w:rPr>
        <w:t xml:space="preserve"> случаев</w:t>
      </w:r>
      <w:r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Pr="003F6C9D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F059FF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F059FF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5</w:t>
      </w:r>
      <w:r w:rsidR="00586C09" w:rsidRPr="00F059FF">
        <w:rPr>
          <w:b/>
          <w:sz w:val="26"/>
          <w:szCs w:val="26"/>
        </w:rPr>
        <w:t xml:space="preserve">. </w:t>
      </w:r>
      <w:r w:rsidR="00BB659A" w:rsidRPr="00F059FF">
        <w:rPr>
          <w:b/>
          <w:sz w:val="26"/>
          <w:szCs w:val="26"/>
        </w:rPr>
        <w:t xml:space="preserve">Муниципальный внутренний долг бюджета </w:t>
      </w:r>
      <w:r w:rsidR="00F059FF" w:rsidRPr="00F059FF">
        <w:rPr>
          <w:b/>
          <w:sz w:val="26"/>
          <w:szCs w:val="26"/>
        </w:rPr>
        <w:t>Никольского</w:t>
      </w:r>
      <w:r w:rsidR="00C47768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F059FF">
        <w:rPr>
          <w:b/>
          <w:sz w:val="26"/>
          <w:szCs w:val="26"/>
        </w:rPr>
        <w:t xml:space="preserve"> </w:t>
      </w:r>
      <w:r w:rsidR="00F059FF" w:rsidRPr="00F059FF">
        <w:rPr>
          <w:b/>
          <w:sz w:val="26"/>
          <w:szCs w:val="26"/>
        </w:rPr>
        <w:t>Никольского</w:t>
      </w:r>
      <w:r w:rsidR="00131C0D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м</w:t>
      </w:r>
      <w:r w:rsidR="00586C09" w:rsidRPr="00F059FF">
        <w:rPr>
          <w:b/>
          <w:sz w:val="26"/>
          <w:szCs w:val="26"/>
        </w:rPr>
        <w:t xml:space="preserve">униципальные внутренние заимствования бюджета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поселения</w:t>
      </w:r>
      <w:r w:rsidR="00586C09" w:rsidRPr="00F059FF">
        <w:rPr>
          <w:b/>
          <w:sz w:val="26"/>
          <w:szCs w:val="26"/>
        </w:rPr>
        <w:t xml:space="preserve"> и предоставление муниципальных гарантий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сельского поселения </w:t>
      </w:r>
      <w:r w:rsidR="00586C09" w:rsidRPr="00F059FF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Установить верхний предел муниципального внутреннего долга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15425A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15425A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15425A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15425A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 </w:t>
      </w:r>
      <w:r w:rsidR="00C73EBD" w:rsidRPr="001D6226">
        <w:rPr>
          <w:sz w:val="26"/>
          <w:szCs w:val="26"/>
        </w:rPr>
        <w:t>на 01.01.202</w:t>
      </w:r>
      <w:r w:rsidR="0015425A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15425A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3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15425A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15425A">
        <w:rPr>
          <w:sz w:val="26"/>
          <w:szCs w:val="26"/>
        </w:rPr>
        <w:t>5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3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15425A">
        <w:rPr>
          <w:sz w:val="26"/>
          <w:szCs w:val="26"/>
        </w:rPr>
        <w:t>4</w:t>
      </w:r>
      <w:r w:rsidR="008056F2" w:rsidRPr="001D6226">
        <w:rPr>
          <w:sz w:val="26"/>
          <w:szCs w:val="26"/>
        </w:rPr>
        <w:t xml:space="preserve"> и 202</w:t>
      </w:r>
      <w:r w:rsidR="0015425A">
        <w:rPr>
          <w:sz w:val="26"/>
          <w:szCs w:val="26"/>
        </w:rPr>
        <w:t>5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3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15425A">
        <w:rPr>
          <w:sz w:val="26"/>
          <w:szCs w:val="26"/>
        </w:rPr>
        <w:t>4</w:t>
      </w:r>
      <w:r w:rsidR="00CC2D92" w:rsidRPr="001D6226">
        <w:rPr>
          <w:sz w:val="26"/>
          <w:szCs w:val="26"/>
        </w:rPr>
        <w:t xml:space="preserve"> и 202</w:t>
      </w:r>
      <w:r w:rsidR="0015425A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15425A">
        <w:rPr>
          <w:b/>
          <w:sz w:val="26"/>
          <w:szCs w:val="26"/>
        </w:rPr>
        <w:t>3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Установить, что остатки средств бюджета </w:t>
      </w:r>
      <w:r w:rsidR="00F059FF" w:rsidRPr="00F059FF">
        <w:rPr>
          <w:sz w:val="26"/>
          <w:szCs w:val="26"/>
        </w:rPr>
        <w:t>Никольского</w:t>
      </w:r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15425A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15425A">
        <w:rPr>
          <w:color w:val="000000"/>
          <w:sz w:val="26"/>
          <w:szCs w:val="26"/>
        </w:rPr>
        <w:t>3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в </w:t>
      </w:r>
      <w:r w:rsidR="003F6C9D" w:rsidRPr="00004364">
        <w:rPr>
          <w:sz w:val="26"/>
          <w:szCs w:val="26"/>
        </w:rPr>
        <w:t xml:space="preserve">соответствии с </w:t>
      </w:r>
      <w:r w:rsidR="000D03A3" w:rsidRPr="00004364">
        <w:rPr>
          <w:sz w:val="26"/>
          <w:szCs w:val="26"/>
        </w:rPr>
        <w:t>пунктом 2 статьи 36</w:t>
      </w:r>
      <w:r w:rsidR="0054128E" w:rsidRPr="00004364">
        <w:rPr>
          <w:sz w:val="26"/>
          <w:szCs w:val="26"/>
        </w:rPr>
        <w:t xml:space="preserve"> Положения «</w:t>
      </w:r>
      <w:r w:rsidR="003F6C9D" w:rsidRPr="00004364">
        <w:rPr>
          <w:sz w:val="26"/>
          <w:szCs w:val="26"/>
        </w:rPr>
        <w:t xml:space="preserve">О бюджетном процессе в </w:t>
      </w:r>
      <w:r w:rsidR="00F059FF" w:rsidRPr="00004364">
        <w:rPr>
          <w:sz w:val="26"/>
          <w:szCs w:val="26"/>
        </w:rPr>
        <w:t>Никольского</w:t>
      </w:r>
      <w:r w:rsidR="00751D38" w:rsidRPr="00004364">
        <w:rPr>
          <w:sz w:val="26"/>
          <w:szCs w:val="26"/>
        </w:rPr>
        <w:t xml:space="preserve"> сельском поселении», </w:t>
      </w:r>
      <w:r w:rsidR="003F6C9D" w:rsidRPr="00004364">
        <w:rPr>
          <w:sz w:val="26"/>
          <w:szCs w:val="26"/>
        </w:rPr>
        <w:t xml:space="preserve">администрация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сверх утвержденных решением о бюджете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поселения, и остатков средств на счетах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по сост</w:t>
      </w:r>
      <w:r w:rsidR="00457706" w:rsidRPr="00004364">
        <w:rPr>
          <w:sz w:val="26"/>
          <w:szCs w:val="26"/>
        </w:rPr>
        <w:t>оянию на 01.01.202</w:t>
      </w:r>
      <w:r w:rsidR="0015425A">
        <w:rPr>
          <w:sz w:val="26"/>
          <w:szCs w:val="26"/>
        </w:rPr>
        <w:t>3</w:t>
      </w:r>
      <w:r w:rsidR="003F6C9D" w:rsidRPr="00004364">
        <w:rPr>
          <w:sz w:val="26"/>
          <w:szCs w:val="26"/>
        </w:rPr>
        <w:t xml:space="preserve"> года, сложивши</w:t>
      </w:r>
      <w:r w:rsidR="00CA1B07" w:rsidRPr="00004364">
        <w:rPr>
          <w:sz w:val="26"/>
          <w:szCs w:val="26"/>
        </w:rPr>
        <w:t>хся от данных поступлений в 20</w:t>
      </w:r>
      <w:r w:rsidR="00CC2D92" w:rsidRPr="00004364">
        <w:rPr>
          <w:sz w:val="26"/>
          <w:szCs w:val="26"/>
        </w:rPr>
        <w:t>2</w:t>
      </w:r>
      <w:r w:rsidR="0015425A">
        <w:rPr>
          <w:sz w:val="26"/>
          <w:szCs w:val="26"/>
        </w:rPr>
        <w:t>2</w:t>
      </w:r>
      <w:r>
        <w:rPr>
          <w:sz w:val="26"/>
          <w:szCs w:val="26"/>
        </w:rPr>
        <w:t xml:space="preserve"> году:</w:t>
      </w:r>
    </w:p>
    <w:p w:rsidR="002718B7" w:rsidRPr="003F6C9D" w:rsidRDefault="002718B7" w:rsidP="002718B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2718B7" w:rsidRPr="00004364" w:rsidRDefault="002718B7" w:rsidP="002718B7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</w:t>
      </w:r>
    </w:p>
    <w:p w:rsidR="003F6C9D" w:rsidRPr="00004364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004364">
        <w:rPr>
          <w:sz w:val="26"/>
          <w:szCs w:val="26"/>
        </w:rPr>
        <w:t>4</w:t>
      </w:r>
      <w:r w:rsidR="00356533" w:rsidRPr="00004364">
        <w:rPr>
          <w:sz w:val="26"/>
          <w:szCs w:val="26"/>
        </w:rPr>
        <w:t xml:space="preserve">. </w:t>
      </w:r>
      <w:r w:rsidR="003F6C9D" w:rsidRPr="00004364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 w:rsidR="002320AD" w:rsidRPr="00004364">
        <w:rPr>
          <w:sz w:val="26"/>
          <w:szCs w:val="26"/>
        </w:rPr>
        <w:t xml:space="preserve">ципальным учреждениям, которым </w:t>
      </w:r>
      <w:r w:rsidR="003F6C9D" w:rsidRPr="00004364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Установить в соответствии с частью 3 статьи 48 «Положения о бюджетном процессе в </w:t>
      </w:r>
      <w:r>
        <w:rPr>
          <w:sz w:val="26"/>
          <w:szCs w:val="26"/>
        </w:rPr>
        <w:t>Никольском</w:t>
      </w:r>
      <w:r>
        <w:rPr>
          <w:sz w:val="26"/>
        </w:rPr>
        <w:t xml:space="preserve"> сельском поселении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r w:rsidRPr="00004364">
        <w:rPr>
          <w:sz w:val="26"/>
          <w:szCs w:val="26"/>
        </w:rPr>
        <w:t>Никольского</w:t>
      </w:r>
      <w:r>
        <w:rPr>
          <w:sz w:val="26"/>
        </w:rPr>
        <w:t xml:space="preserve"> сельского поселения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7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lastRenderedPageBreak/>
        <w:t xml:space="preserve">Использование зарезервированных средств осуществляется в Порядке, установленном администрацией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3F6C9D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7</w:t>
      </w:r>
      <w:r w:rsidR="00751D38" w:rsidRPr="001D6226">
        <w:rPr>
          <w:b/>
          <w:sz w:val="26"/>
          <w:szCs w:val="26"/>
        </w:rPr>
        <w:t xml:space="preserve">. </w:t>
      </w:r>
      <w:r w:rsidR="003F6C9D" w:rsidRPr="001D6226">
        <w:rPr>
          <w:b/>
          <w:sz w:val="26"/>
          <w:szCs w:val="26"/>
        </w:rPr>
        <w:t xml:space="preserve">Особенности использования бюджетных ассигнований для финансирования договоров (муниципальных контрактов), заключаемых </w:t>
      </w:r>
      <w:r w:rsidR="00457706" w:rsidRPr="001D6226">
        <w:rPr>
          <w:b/>
          <w:sz w:val="26"/>
          <w:szCs w:val="26"/>
        </w:rPr>
        <w:t>муниципальными</w:t>
      </w:r>
      <w:r w:rsidR="003F6C9D" w:rsidRPr="001D6226">
        <w:rPr>
          <w:b/>
          <w:sz w:val="26"/>
          <w:szCs w:val="26"/>
        </w:rPr>
        <w:t xml:space="preserve"> учреждениями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07C38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3F6C9D" w:rsidRPr="001D6226">
        <w:rPr>
          <w:sz w:val="26"/>
          <w:szCs w:val="26"/>
        </w:rPr>
        <w:t>1</w:t>
      </w:r>
      <w:r w:rsidR="00356533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заключение и оплата</w:t>
      </w:r>
      <w:r w:rsidR="000D03A3" w:rsidRPr="001D6226">
        <w:rPr>
          <w:sz w:val="26"/>
          <w:szCs w:val="26"/>
        </w:rPr>
        <w:t xml:space="preserve"> муницип</w:t>
      </w:r>
      <w:r w:rsidR="000D32D2" w:rsidRPr="001D6226">
        <w:rPr>
          <w:sz w:val="26"/>
          <w:szCs w:val="26"/>
        </w:rPr>
        <w:t xml:space="preserve">альными учреждениями и </w:t>
      </w:r>
      <w:r w:rsidR="000D03A3" w:rsidRPr="001D6226">
        <w:rPr>
          <w:sz w:val="26"/>
          <w:szCs w:val="26"/>
        </w:rPr>
        <w:t>органами</w:t>
      </w:r>
      <w:r w:rsidR="003F6C9D" w:rsidRPr="001D6226">
        <w:rPr>
          <w:sz w:val="26"/>
          <w:szCs w:val="26"/>
        </w:rPr>
        <w:t xml:space="preserve"> местного самоуправления</w:t>
      </w:r>
      <w:r w:rsidR="000D03A3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3F6C9D" w:rsidRPr="001D6226">
        <w:rPr>
          <w:sz w:val="26"/>
          <w:szCs w:val="26"/>
        </w:rPr>
        <w:t xml:space="preserve"> сельского поселения</w:t>
      </w:r>
      <w:r w:rsidR="000D03A3" w:rsidRPr="001D6226"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</w:t>
      </w:r>
      <w:r w:rsidR="00242041" w:rsidRPr="001D6226">
        <w:rPr>
          <w:sz w:val="26"/>
          <w:szCs w:val="26"/>
        </w:rPr>
        <w:t xml:space="preserve"> иных </w:t>
      </w:r>
      <w:r w:rsidR="003F6C9D" w:rsidRPr="001D6226">
        <w:rPr>
          <w:sz w:val="26"/>
          <w:szCs w:val="26"/>
        </w:rPr>
        <w:t>дого</w:t>
      </w:r>
      <w:r w:rsidR="00242041" w:rsidRPr="001D6226">
        <w:rPr>
          <w:sz w:val="26"/>
          <w:szCs w:val="26"/>
        </w:rPr>
        <w:t>воров</w:t>
      </w:r>
      <w:r w:rsidR="003F6C9D" w:rsidRPr="001D6226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F059FF" w:rsidRPr="00F059FF">
        <w:rPr>
          <w:sz w:val="26"/>
          <w:szCs w:val="26"/>
        </w:rPr>
        <w:t>Никольского</w:t>
      </w:r>
      <w:r w:rsidR="00242041" w:rsidRPr="001D6226">
        <w:rPr>
          <w:sz w:val="26"/>
          <w:szCs w:val="26"/>
        </w:rPr>
        <w:t xml:space="preserve"> сельского </w:t>
      </w:r>
      <w:r w:rsidR="003F6C9D" w:rsidRPr="001D6226">
        <w:rPr>
          <w:sz w:val="26"/>
          <w:szCs w:val="26"/>
        </w:rPr>
        <w:t>поселения, производя</w:t>
      </w:r>
      <w:r w:rsidR="00457706" w:rsidRPr="001D6226">
        <w:rPr>
          <w:sz w:val="26"/>
          <w:szCs w:val="26"/>
        </w:rPr>
        <w:t xml:space="preserve">тся в пределах утвержденных им </w:t>
      </w:r>
      <w:r w:rsidR="003F6C9D" w:rsidRPr="001D6226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C93F4E" w:rsidRPr="001D6226" w:rsidRDefault="00C93F4E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</w:t>
      </w:r>
      <w:r w:rsidR="00C93F4E" w:rsidRPr="00F059FF">
        <w:rPr>
          <w:b/>
          <w:sz w:val="26"/>
          <w:szCs w:val="26"/>
        </w:rPr>
        <w:t xml:space="preserve">депутатов </w:t>
      </w:r>
      <w:r w:rsidR="00F059FF" w:rsidRPr="00F059FF">
        <w:rPr>
          <w:b/>
          <w:sz w:val="26"/>
          <w:szCs w:val="26"/>
        </w:rPr>
        <w:t>Никольского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457706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r w:rsidR="00F059FF">
        <w:rPr>
          <w:sz w:val="26"/>
          <w:szCs w:val="26"/>
        </w:rPr>
        <w:t>Машошин</w:t>
      </w: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1D22FA" w:rsidRPr="001D6226" w:rsidRDefault="001D22FA" w:rsidP="00D37062">
      <w:pPr>
        <w:ind w:right="-284"/>
        <w:rPr>
          <w:sz w:val="26"/>
          <w:szCs w:val="26"/>
        </w:rPr>
      </w:pPr>
    </w:p>
    <w:p w:rsidR="000A649D" w:rsidRDefault="000A649D" w:rsidP="00D37062">
      <w:pPr>
        <w:ind w:right="-284"/>
        <w:rPr>
          <w:sz w:val="26"/>
          <w:szCs w:val="26"/>
        </w:rPr>
      </w:pPr>
    </w:p>
    <w:p w:rsidR="00F059FF" w:rsidRPr="001D6226" w:rsidRDefault="00F059F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F059FF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="00D82A8E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15425A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15425A">
              <w:rPr>
                <w:b/>
                <w:bCs/>
                <w:sz w:val="26"/>
                <w:szCs w:val="26"/>
              </w:rPr>
              <w:t>__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15425A"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№_____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 w:rsidP="001542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D82A8E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D82A8E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154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154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3 685,2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3 824,3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3 635,8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3 685,2</w:t>
            </w:r>
          </w:p>
        </w:tc>
      </w:tr>
      <w:tr w:rsidR="00166CF0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907C38">
            <w:pPr>
              <w:jc w:val="center"/>
            </w:pPr>
            <w:r>
              <w:t>3 974,3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3 685,2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907C38">
            <w:pPr>
              <w:jc w:val="center"/>
            </w:pPr>
            <w:r>
              <w:t>3 974,3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3 635,8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3 685,2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467"/>
        <w:gridCol w:w="1393"/>
        <w:gridCol w:w="579"/>
        <w:gridCol w:w="671"/>
        <w:gridCol w:w="912"/>
        <w:gridCol w:w="223"/>
        <w:gridCol w:w="1276"/>
      </w:tblGrid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A649D">
              <w:rPr>
                <w:b/>
                <w:bCs/>
                <w:sz w:val="26"/>
                <w:szCs w:val="26"/>
              </w:rPr>
              <w:t xml:space="preserve"> Приложение №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sz w:val="26"/>
                <w:szCs w:val="26"/>
              </w:rPr>
              <w:t xml:space="preserve">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15425A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15425A">
              <w:rPr>
                <w:b/>
                <w:bCs/>
                <w:sz w:val="26"/>
                <w:szCs w:val="26"/>
              </w:rPr>
              <w:t>__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15425A"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№_____</w:t>
            </w:r>
          </w:p>
        </w:tc>
      </w:tr>
      <w:tr w:rsidR="006A3EF2" w:rsidTr="00E75459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F059F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A53553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A53553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8E4A56">
              <w:rPr>
                <w:b/>
                <w:bCs/>
                <w:sz w:val="26"/>
                <w:szCs w:val="26"/>
              </w:rPr>
              <w:t xml:space="preserve"> </w:t>
            </w:r>
            <w:r w:rsidR="008E4A56" w:rsidRPr="008E4A56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15425A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</w:t>
            </w:r>
            <w:r w:rsidR="0015425A">
              <w:rPr>
                <w:b/>
                <w:bCs/>
                <w:sz w:val="26"/>
                <w:szCs w:val="26"/>
              </w:rPr>
              <w:t>3</w:t>
            </w:r>
            <w:r w:rsidRPr="00B05175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15425A">
              <w:rPr>
                <w:b/>
                <w:bCs/>
                <w:sz w:val="26"/>
                <w:szCs w:val="26"/>
              </w:rPr>
              <w:t>4</w:t>
            </w:r>
            <w:r w:rsidRPr="00B05175">
              <w:rPr>
                <w:b/>
                <w:bCs/>
                <w:sz w:val="26"/>
                <w:szCs w:val="26"/>
              </w:rPr>
              <w:t xml:space="preserve"> и 202</w:t>
            </w:r>
            <w:r w:rsidR="0015425A">
              <w:rPr>
                <w:b/>
                <w:bCs/>
                <w:sz w:val="26"/>
                <w:szCs w:val="26"/>
              </w:rPr>
              <w:t>5</w:t>
            </w:r>
            <w:r w:rsidRPr="00B05175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15425A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15425A">
              <w:rPr>
                <w:b/>
                <w:bCs/>
              </w:rPr>
              <w:t>3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15425A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15425A">
              <w:rPr>
                <w:b/>
                <w:bCs/>
              </w:rPr>
              <w:t>4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15425A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15425A">
              <w:rPr>
                <w:b/>
                <w:bCs/>
              </w:rPr>
              <w:t>5</w:t>
            </w:r>
            <w:r w:rsidRPr="006A3EF2">
              <w:rPr>
                <w:b/>
                <w:bCs/>
              </w:rPr>
              <w:t xml:space="preserve"> год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5</w:t>
            </w:r>
          </w:p>
        </w:tc>
      </w:tr>
      <w:tr w:rsidR="006A3EF2" w:rsidTr="00E75459">
        <w:trPr>
          <w:trHeight w:val="53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rPr>
                <w:b/>
                <w:bCs/>
              </w:rPr>
            </w:pPr>
            <w:r w:rsidRPr="006A3EF2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90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3 824,3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407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3 685,2</w:t>
            </w:r>
          </w:p>
        </w:tc>
      </w:tr>
      <w:tr w:rsidR="006A3EF2" w:rsidTr="00E75459">
        <w:trPr>
          <w:trHeight w:val="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2 075,9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2 394,7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2 404,7</w:t>
            </w:r>
          </w:p>
        </w:tc>
      </w:tr>
      <w:tr w:rsidR="00FB1A2D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E4583" w:rsidP="00750E43">
            <w:pPr>
              <w:jc w:val="center"/>
            </w:pPr>
            <w:r>
              <w:t>94,9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E4583" w:rsidP="00750E43">
            <w:pPr>
              <w:jc w:val="center"/>
            </w:pPr>
            <w: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E4583" w:rsidP="00750E43">
            <w:pPr>
              <w:jc w:val="center"/>
            </w:pPr>
            <w:r>
              <w:t>102,7</w:t>
            </w:r>
          </w:p>
        </w:tc>
      </w:tr>
      <w:tr w:rsidR="004E4583" w:rsidTr="00E75459">
        <w:trPr>
          <w:trHeight w:val="25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94,9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102,7</w:t>
            </w:r>
          </w:p>
        </w:tc>
      </w:tr>
      <w:tr w:rsidR="006A3EF2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15,</w:t>
            </w:r>
            <w:r w:rsidR="00FB1A2D"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</w:t>
            </w:r>
            <w:r w:rsidR="004E4583">
              <w:t>5</w:t>
            </w:r>
            <w:r w:rsidR="00FB1A2D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</w:t>
            </w:r>
            <w:r w:rsidR="004E4583">
              <w:t>5</w:t>
            </w:r>
            <w:r w:rsidR="00FB1A2D" w:rsidRPr="006A3EF2">
              <w:t>,0</w:t>
            </w:r>
          </w:p>
        </w:tc>
      </w:tr>
      <w:tr w:rsidR="004E4583" w:rsidTr="00E75459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15,</w:t>
            </w:r>
            <w:r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15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15</w:t>
            </w:r>
            <w:r w:rsidRPr="006A3EF2">
              <w:t>,0</w:t>
            </w:r>
          </w:p>
        </w:tc>
      </w:tr>
      <w:tr w:rsidR="006A3EF2" w:rsidTr="00E75459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</w:tr>
      <w:tr w:rsidR="004E4583" w:rsidTr="00E75459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</w:tr>
      <w:tr w:rsidR="00750E43" w:rsidTr="00E75459">
        <w:trPr>
          <w:trHeight w:val="3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E75459" w:rsidP="004E4583">
            <w:pPr>
              <w:jc w:val="center"/>
            </w:pPr>
            <w:r>
              <w:t xml:space="preserve">1 </w:t>
            </w:r>
            <w:r w:rsidR="004E4583">
              <w:t>747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4E4583">
            <w:pPr>
              <w:jc w:val="center"/>
            </w:pPr>
            <w:r>
              <w:t>2 062</w:t>
            </w:r>
            <w:r w:rsidR="00750E43" w:rsidRPr="006E74D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2 068</w:t>
            </w:r>
            <w:r w:rsidR="00750E43" w:rsidRPr="006E74D3">
              <w:t>,0</w:t>
            </w:r>
          </w:p>
        </w:tc>
      </w:tr>
      <w:tr w:rsidR="00BE6AA8" w:rsidTr="00E75459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 xml:space="preserve">Земельный налог с </w:t>
            </w:r>
            <w:r w:rsidRPr="006A3EF2">
              <w:lastRenderedPageBreak/>
              <w:t>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4E4583" w:rsidP="00750E43">
            <w:pPr>
              <w:jc w:val="center"/>
            </w:pPr>
            <w:r>
              <w:lastRenderedPageBreak/>
              <w:t>948,0</w:t>
            </w:r>
            <w:r w:rsidR="00BE6AA8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4E4583" w:rsidP="00750E43">
            <w:pPr>
              <w:jc w:val="center"/>
            </w:pPr>
            <w:r>
              <w:t>1 263</w:t>
            </w:r>
            <w:r w:rsidR="00BE6AA8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4E4583" w:rsidP="00750E43">
            <w:pPr>
              <w:jc w:val="center"/>
            </w:pPr>
            <w:r>
              <w:t>1 263</w:t>
            </w:r>
            <w:r w:rsidR="00BE6AA8">
              <w:t>,0</w:t>
            </w:r>
          </w:p>
        </w:tc>
      </w:tr>
      <w:tr w:rsidR="004E4583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lastRenderedPageBreak/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948,0,0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1 263,0</w:t>
            </w:r>
          </w:p>
        </w:tc>
      </w:tr>
      <w:tr w:rsidR="004E4583" w:rsidTr="00E75459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805</w:t>
            </w:r>
            <w:r w:rsidRPr="006A3EF2">
              <w:t>,0</w:t>
            </w:r>
          </w:p>
        </w:tc>
      </w:tr>
      <w:tr w:rsidR="004E4583" w:rsidTr="00E75459">
        <w:trPr>
          <w:trHeight w:val="13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805</w:t>
            </w:r>
            <w:r w:rsidRPr="006A3EF2">
              <w:t>,0</w:t>
            </w:r>
          </w:p>
        </w:tc>
      </w:tr>
      <w:tr w:rsidR="006A3EF2" w:rsidTr="00E75459">
        <w:trPr>
          <w:trHeight w:val="5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6A3EF2" w:rsidTr="00E75459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B374D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</w:tr>
      <w:tr w:rsidR="00E7545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</w:tr>
      <w:tr w:rsidR="00750E43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</w:t>
            </w:r>
            <w:r>
              <w:t xml:space="preserve">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00000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0000</w:t>
            </w:r>
            <w:r>
              <w:t xml:space="preserve"> </w:t>
            </w:r>
            <w:r w:rsidRPr="00750E43">
              <w:t>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</w:tr>
      <w:tr w:rsidR="004E4583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>
              <w:t xml:space="preserve">000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050501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</w:t>
            </w:r>
            <w:r>
              <w:t xml:space="preserve"> </w:t>
            </w:r>
            <w:r w:rsidRPr="00750E43">
              <w:t>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</w:tr>
      <w:tr w:rsidR="006A3EF2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1 748,4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1 280,5</w:t>
            </w:r>
          </w:p>
        </w:tc>
      </w:tr>
      <w:tr w:rsidR="006A3EF2" w:rsidTr="00E7545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4E4583">
            <w:pPr>
              <w:jc w:val="center"/>
            </w:pPr>
            <w:r>
              <w:t>1 033,4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1 057,8</w:t>
            </w:r>
          </w:p>
        </w:tc>
      </w:tr>
      <w:tr w:rsidR="004E4583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1 033,4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1 057,8</w:t>
            </w:r>
          </w:p>
        </w:tc>
      </w:tr>
      <w:tr w:rsidR="006A3EF2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</w:t>
            </w:r>
            <w:r w:rsidR="00E7545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</w:tr>
      <w:tr w:rsidR="006A3EF2" w:rsidTr="00E75459">
        <w:trPr>
          <w:trHeight w:val="12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AB7CCA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4E4583" w:rsidP="00750E43">
            <w:pPr>
              <w:jc w:val="center"/>
            </w:pPr>
            <w:r>
              <w:t>0</w:t>
            </w:r>
            <w:r w:rsidR="00AB7CCA" w:rsidRPr="00AB7CCA">
              <w:t>,</w:t>
            </w:r>
            <w:r w:rsidR="00E75459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113,3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122,7</w:t>
            </w:r>
          </w:p>
        </w:tc>
      </w:tr>
      <w:tr w:rsidR="004E4583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83" w:rsidRPr="006A3EF2" w:rsidRDefault="004E4583" w:rsidP="004E4583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83" w:rsidRPr="006A3EF2" w:rsidRDefault="004E4583" w:rsidP="004E4583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113,3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122,7</w:t>
            </w:r>
          </w:p>
        </w:tc>
      </w:tr>
      <w:tr w:rsidR="006A3EF2" w:rsidTr="00E75459">
        <w:trPr>
          <w:trHeight w:val="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601,7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</w:tr>
      <w:tr w:rsidR="00166CF0" w:rsidTr="00E75459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907C38">
            <w:r w:rsidRPr="006A3EF2">
              <w:lastRenderedPageBreak/>
              <w:t>0</w:t>
            </w:r>
            <w:r>
              <w:t>0</w:t>
            </w:r>
            <w:r w:rsidRPr="006A3EF2">
              <w:t>0 2 02 400</w:t>
            </w:r>
            <w:r w:rsidR="00907C38">
              <w:t>14</w:t>
            </w:r>
            <w:r w:rsidRPr="006A3EF2">
              <w:t xml:space="preserve"> </w:t>
            </w:r>
            <w:r w:rsidR="00907C38">
              <w:t>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F0" w:rsidRPr="006A3EF2" w:rsidRDefault="00166CF0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203,0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</w:tr>
      <w:tr w:rsidR="00AB7CCA" w:rsidTr="00166CF0">
        <w:trPr>
          <w:trHeight w:val="12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4E4583" w:rsidP="00166CF0">
            <w:pPr>
              <w:jc w:val="center"/>
            </w:pPr>
            <w:r>
              <w:t>398,7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4E4583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4E4583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8E4A56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  <w:r w:rsidR="008E4A56">
        <w:rPr>
          <w:b/>
          <w:bCs/>
          <w:sz w:val="26"/>
          <w:szCs w:val="26"/>
        </w:rPr>
        <w:t xml:space="preserve"> </w:t>
      </w:r>
      <w:r w:rsidR="008E4A56" w:rsidRPr="008E4A56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8" w:type="dxa"/>
        <w:tblInd w:w="113" w:type="dxa"/>
        <w:tblLook w:val="04A0" w:firstRow="1" w:lastRow="0" w:firstColumn="1" w:lastColumn="0" w:noHBand="0" w:noVBand="1"/>
      </w:tblPr>
      <w:tblGrid>
        <w:gridCol w:w="3681"/>
        <w:gridCol w:w="590"/>
        <w:gridCol w:w="739"/>
        <w:gridCol w:w="1228"/>
        <w:gridCol w:w="655"/>
        <w:gridCol w:w="899"/>
        <w:gridCol w:w="993"/>
        <w:gridCol w:w="993"/>
      </w:tblGrid>
      <w:tr w:rsidR="00EF1034" w:rsidTr="00EF1034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2 277,9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пожарного расчета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108,0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</w:tbl>
    <w:p w:rsidR="00EF1034" w:rsidRDefault="00EF1034" w:rsidP="00EF1034">
      <w:pPr>
        <w:ind w:right="-284"/>
        <w:rPr>
          <w:sz w:val="20"/>
          <w:szCs w:val="20"/>
        </w:rPr>
      </w:pPr>
    </w:p>
    <w:p w:rsidR="00EF1034" w:rsidRDefault="00EF1034" w:rsidP="00CE782B">
      <w:pPr>
        <w:ind w:right="-284"/>
        <w:jc w:val="right"/>
        <w:rPr>
          <w:sz w:val="20"/>
          <w:szCs w:val="20"/>
        </w:rPr>
      </w:pPr>
    </w:p>
    <w:p w:rsidR="001038F9" w:rsidRDefault="001038F9" w:rsidP="00CE782B">
      <w:pPr>
        <w:ind w:right="-284"/>
        <w:jc w:val="right"/>
        <w:rPr>
          <w:sz w:val="20"/>
          <w:szCs w:val="20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</w:t>
            </w:r>
            <w:r w:rsidR="000A649D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0A649D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4E4583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4E4583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 xml:space="preserve">сельского поселения </w:t>
      </w:r>
      <w:r w:rsidR="001038F9" w:rsidRPr="001038F9">
        <w:rPr>
          <w:b/>
          <w:sz w:val="26"/>
          <w:szCs w:val="26"/>
        </w:rPr>
        <w:t>Бобровского муниципального района Воронежской области</w:t>
      </w:r>
      <w:r w:rsidR="001038F9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1038F9" w:rsidRDefault="00CE782B" w:rsidP="001038F9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823"/>
        <w:gridCol w:w="708"/>
        <w:gridCol w:w="1228"/>
        <w:gridCol w:w="655"/>
        <w:gridCol w:w="1094"/>
        <w:gridCol w:w="1134"/>
        <w:gridCol w:w="1134"/>
      </w:tblGrid>
      <w:tr w:rsidR="00EF1034" w:rsidTr="00EF1034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2 277,9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пожарного расчета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муниципального земельного контроля"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</w:tbl>
    <w:p w:rsidR="001038F9" w:rsidRDefault="001038F9" w:rsidP="00EF1034">
      <w:pPr>
        <w:ind w:right="-284"/>
        <w:rPr>
          <w:sz w:val="20"/>
          <w:szCs w:val="26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034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EF1034" w:rsidRDefault="00EF1034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EF1034" w:rsidRDefault="00EF1034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E782B" w:rsidRPr="00D436CE" w:rsidRDefault="000A649D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Приложение №5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7D360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4E4583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4E4583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81"/>
        <w:gridCol w:w="1228"/>
        <w:gridCol w:w="756"/>
        <w:gridCol w:w="647"/>
        <w:gridCol w:w="1054"/>
        <w:gridCol w:w="1134"/>
        <w:gridCol w:w="1134"/>
      </w:tblGrid>
      <w:tr w:rsidR="00C37595" w:rsidTr="00C37595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C37595" w:rsidTr="00C37595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Pr="00C37595" w:rsidRDefault="00C3759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Pr="00C37595" w:rsidRDefault="00C3759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130,4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Pr="00C37595" w:rsidRDefault="00C3759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3 104,2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2 703,7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2 606,6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2 277,9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пожарного расчета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муниципального земельного контроля"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8E4A56" w:rsidRDefault="008E4A56" w:rsidP="00C37595">
      <w:pPr>
        <w:ind w:left="567" w:right="-284" w:firstLine="567"/>
        <w:rPr>
          <w:bCs/>
          <w:sz w:val="20"/>
          <w:szCs w:val="20"/>
        </w:rPr>
      </w:pPr>
    </w:p>
    <w:p w:rsidR="008E4A56" w:rsidRPr="000061D3" w:rsidRDefault="008E4A56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254941">
        <w:rPr>
          <w:b/>
          <w:bCs/>
          <w:sz w:val="26"/>
          <w:szCs w:val="26"/>
        </w:rPr>
        <w:t xml:space="preserve">           </w:t>
      </w: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  Приложение № </w:t>
      </w:r>
      <w:r>
        <w:rPr>
          <w:b/>
          <w:bCs/>
          <w:sz w:val="26"/>
          <w:szCs w:val="26"/>
        </w:rPr>
        <w:t>6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к проекту решения Совета народных депутатов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Никольского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120CD0" w:rsidRPr="00254941" w:rsidRDefault="00120CD0" w:rsidP="00120CD0">
      <w:pPr>
        <w:ind w:right="-284"/>
        <w:jc w:val="right"/>
        <w:rPr>
          <w:b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от </w:t>
      </w:r>
      <w:r w:rsidRPr="00254941">
        <w:rPr>
          <w:b/>
          <w:bCs/>
          <w:sz w:val="26"/>
          <w:szCs w:val="26"/>
        </w:rPr>
        <w:t>«</w:t>
      </w:r>
      <w:r w:rsidR="004E4583">
        <w:rPr>
          <w:b/>
          <w:bCs/>
          <w:sz w:val="26"/>
          <w:szCs w:val="26"/>
        </w:rPr>
        <w:t>___</w:t>
      </w:r>
      <w:r w:rsidRPr="00254941">
        <w:rPr>
          <w:b/>
          <w:bCs/>
          <w:sz w:val="26"/>
          <w:szCs w:val="26"/>
        </w:rPr>
        <w:t>» декабрь 202</w:t>
      </w:r>
      <w:r w:rsidR="004E4583">
        <w:rPr>
          <w:b/>
          <w:bCs/>
          <w:sz w:val="26"/>
          <w:szCs w:val="26"/>
        </w:rPr>
        <w:t>2</w:t>
      </w:r>
      <w:r w:rsidRPr="00254941">
        <w:rPr>
          <w:b/>
          <w:bCs/>
          <w:sz w:val="26"/>
          <w:szCs w:val="26"/>
        </w:rPr>
        <w:t xml:space="preserve"> г №____</w:t>
      </w: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4E4583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699,1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714,2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770,1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4E4583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430,9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437,5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445,9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84755" w:rsidRDefault="00184755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8F9" w:rsidRDefault="00497E47" w:rsidP="00120CD0">
            <w:pPr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</w:t>
            </w:r>
          </w:p>
          <w:p w:rsidR="001038F9" w:rsidRDefault="001038F9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97E47" w:rsidRPr="00D436CE" w:rsidRDefault="000A649D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Приложение №</w:t>
            </w:r>
            <w:r w:rsidR="00120CD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9A7C15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9A7C15">
              <w:rPr>
                <w:b/>
                <w:bCs/>
                <w:sz w:val="26"/>
                <w:szCs w:val="26"/>
              </w:rPr>
              <w:t>___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9A7C15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 xml:space="preserve"> </w:t>
      </w:r>
      <w:r w:rsidR="007D3606"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D436CE" w:rsidRPr="007D3606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>на 202</w:t>
      </w:r>
      <w:r w:rsidR="009A7C15">
        <w:rPr>
          <w:rFonts w:ascii="Times New Roman" w:hAnsi="Times New Roman"/>
          <w:b/>
          <w:sz w:val="26"/>
          <w:szCs w:val="26"/>
        </w:rPr>
        <w:t>3</w:t>
      </w:r>
      <w:r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9A7C15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9A7C15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9A7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7C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</w:tcPr>
          <w:p w:rsidR="00497E47" w:rsidRPr="00EA00E9" w:rsidRDefault="00497E47" w:rsidP="009A7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7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</w:tcPr>
          <w:p w:rsidR="00497E47" w:rsidRPr="00EA00E9" w:rsidRDefault="00497E47" w:rsidP="009A7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7C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5273F7" w:rsidRDefault="00497E47" w:rsidP="004007B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              Приложение №</w:t>
            </w:r>
            <w:r w:rsidR="00120CD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9A7C15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</w:t>
            </w:r>
            <w:r w:rsidR="009A7C15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7D360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</w:t>
      </w:r>
      <w:r w:rsidR="009A7C15">
        <w:rPr>
          <w:rFonts w:ascii="Times New Roman" w:hAnsi="Times New Roman"/>
          <w:b/>
          <w:sz w:val="26"/>
          <w:szCs w:val="26"/>
        </w:rPr>
        <w:t>3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9A7C15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9A7C15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6656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="006656FD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2" w:type="dxa"/>
          </w:tcPr>
          <w:p w:rsidR="00497E47" w:rsidRPr="00DC201E" w:rsidRDefault="00497E47" w:rsidP="00D436CE">
            <w:pPr>
              <w:pStyle w:val="a4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2022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497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2023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497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2024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553E2"/>
    <w:rsid w:val="0006722E"/>
    <w:rsid w:val="0008070C"/>
    <w:rsid w:val="000954D7"/>
    <w:rsid w:val="000A0447"/>
    <w:rsid w:val="000A649D"/>
    <w:rsid w:val="000B0DFE"/>
    <w:rsid w:val="000B3945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38F9"/>
    <w:rsid w:val="00106D74"/>
    <w:rsid w:val="00112B9E"/>
    <w:rsid w:val="00115120"/>
    <w:rsid w:val="00120CD0"/>
    <w:rsid w:val="00121661"/>
    <w:rsid w:val="00131C0D"/>
    <w:rsid w:val="001424C1"/>
    <w:rsid w:val="00142C3F"/>
    <w:rsid w:val="0015425A"/>
    <w:rsid w:val="001610EE"/>
    <w:rsid w:val="00163826"/>
    <w:rsid w:val="00164322"/>
    <w:rsid w:val="00166CF0"/>
    <w:rsid w:val="00181B84"/>
    <w:rsid w:val="001827C8"/>
    <w:rsid w:val="001842DE"/>
    <w:rsid w:val="00184755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0CF2"/>
    <w:rsid w:val="002320AD"/>
    <w:rsid w:val="00242041"/>
    <w:rsid w:val="00242E03"/>
    <w:rsid w:val="002525D8"/>
    <w:rsid w:val="00253113"/>
    <w:rsid w:val="002566E9"/>
    <w:rsid w:val="002616B1"/>
    <w:rsid w:val="002718B7"/>
    <w:rsid w:val="0027210B"/>
    <w:rsid w:val="0027629E"/>
    <w:rsid w:val="00277462"/>
    <w:rsid w:val="002915DF"/>
    <w:rsid w:val="0029227F"/>
    <w:rsid w:val="002A0164"/>
    <w:rsid w:val="002A120E"/>
    <w:rsid w:val="002A2A33"/>
    <w:rsid w:val="002B6C45"/>
    <w:rsid w:val="002C59BC"/>
    <w:rsid w:val="002E1CBF"/>
    <w:rsid w:val="002E4F4D"/>
    <w:rsid w:val="002E7CFF"/>
    <w:rsid w:val="00305B0F"/>
    <w:rsid w:val="00321A40"/>
    <w:rsid w:val="003277DE"/>
    <w:rsid w:val="00344F8D"/>
    <w:rsid w:val="00356533"/>
    <w:rsid w:val="00361FC9"/>
    <w:rsid w:val="00365215"/>
    <w:rsid w:val="00382F00"/>
    <w:rsid w:val="003923CE"/>
    <w:rsid w:val="00396032"/>
    <w:rsid w:val="0039622C"/>
    <w:rsid w:val="00397C7B"/>
    <w:rsid w:val="003A0842"/>
    <w:rsid w:val="003A2387"/>
    <w:rsid w:val="003C2CA6"/>
    <w:rsid w:val="003C41B6"/>
    <w:rsid w:val="003C4C84"/>
    <w:rsid w:val="003D623C"/>
    <w:rsid w:val="003F6C9D"/>
    <w:rsid w:val="004007B6"/>
    <w:rsid w:val="00407EA8"/>
    <w:rsid w:val="004108AB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E0137"/>
    <w:rsid w:val="004E3B12"/>
    <w:rsid w:val="004E4583"/>
    <w:rsid w:val="004F52BF"/>
    <w:rsid w:val="00502EAB"/>
    <w:rsid w:val="00525165"/>
    <w:rsid w:val="00525F7B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47BDC"/>
    <w:rsid w:val="00651552"/>
    <w:rsid w:val="00653A71"/>
    <w:rsid w:val="00655356"/>
    <w:rsid w:val="006647F4"/>
    <w:rsid w:val="00664F33"/>
    <w:rsid w:val="006656FD"/>
    <w:rsid w:val="00684234"/>
    <w:rsid w:val="0069140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D3606"/>
    <w:rsid w:val="007E24FE"/>
    <w:rsid w:val="007E3D5D"/>
    <w:rsid w:val="007F198F"/>
    <w:rsid w:val="00800052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53966"/>
    <w:rsid w:val="00872FDD"/>
    <w:rsid w:val="008A0252"/>
    <w:rsid w:val="008A31B3"/>
    <w:rsid w:val="008B3D2A"/>
    <w:rsid w:val="008C0DB0"/>
    <w:rsid w:val="008C697B"/>
    <w:rsid w:val="008C6DB8"/>
    <w:rsid w:val="008D0E6D"/>
    <w:rsid w:val="008E23F1"/>
    <w:rsid w:val="008E2C00"/>
    <w:rsid w:val="008E4A56"/>
    <w:rsid w:val="009026DD"/>
    <w:rsid w:val="00907C38"/>
    <w:rsid w:val="00922EAB"/>
    <w:rsid w:val="00942DDF"/>
    <w:rsid w:val="00944DE5"/>
    <w:rsid w:val="0094544B"/>
    <w:rsid w:val="009477BB"/>
    <w:rsid w:val="0095071A"/>
    <w:rsid w:val="00951A33"/>
    <w:rsid w:val="00966A95"/>
    <w:rsid w:val="00967D0D"/>
    <w:rsid w:val="0097698C"/>
    <w:rsid w:val="00981824"/>
    <w:rsid w:val="0098346C"/>
    <w:rsid w:val="00993ABA"/>
    <w:rsid w:val="00994570"/>
    <w:rsid w:val="009A72D9"/>
    <w:rsid w:val="009A7C15"/>
    <w:rsid w:val="009D408B"/>
    <w:rsid w:val="009D5AB2"/>
    <w:rsid w:val="009E075F"/>
    <w:rsid w:val="009E5E94"/>
    <w:rsid w:val="00A13804"/>
    <w:rsid w:val="00A2234F"/>
    <w:rsid w:val="00A2755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84119"/>
    <w:rsid w:val="00B9035E"/>
    <w:rsid w:val="00B94B32"/>
    <w:rsid w:val="00BA04FA"/>
    <w:rsid w:val="00BB659A"/>
    <w:rsid w:val="00BD60A2"/>
    <w:rsid w:val="00BE6AA8"/>
    <w:rsid w:val="00BE7389"/>
    <w:rsid w:val="00BF79E5"/>
    <w:rsid w:val="00C00B6C"/>
    <w:rsid w:val="00C02A7F"/>
    <w:rsid w:val="00C10D2B"/>
    <w:rsid w:val="00C321B0"/>
    <w:rsid w:val="00C355DC"/>
    <w:rsid w:val="00C36304"/>
    <w:rsid w:val="00C36DA5"/>
    <w:rsid w:val="00C37595"/>
    <w:rsid w:val="00C413FC"/>
    <w:rsid w:val="00C4744D"/>
    <w:rsid w:val="00C47768"/>
    <w:rsid w:val="00C53751"/>
    <w:rsid w:val="00C57432"/>
    <w:rsid w:val="00C61A20"/>
    <w:rsid w:val="00C70231"/>
    <w:rsid w:val="00C72356"/>
    <w:rsid w:val="00C7254B"/>
    <w:rsid w:val="00C73EBD"/>
    <w:rsid w:val="00C80F76"/>
    <w:rsid w:val="00C90EAD"/>
    <w:rsid w:val="00C92176"/>
    <w:rsid w:val="00C93F4E"/>
    <w:rsid w:val="00C96550"/>
    <w:rsid w:val="00CA1468"/>
    <w:rsid w:val="00CA1B07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37062"/>
    <w:rsid w:val="00D41756"/>
    <w:rsid w:val="00D436CE"/>
    <w:rsid w:val="00D44CA3"/>
    <w:rsid w:val="00D57B16"/>
    <w:rsid w:val="00D7435E"/>
    <w:rsid w:val="00D76C7F"/>
    <w:rsid w:val="00D82A8E"/>
    <w:rsid w:val="00DA4871"/>
    <w:rsid w:val="00DB4F19"/>
    <w:rsid w:val="00DC3E62"/>
    <w:rsid w:val="00DC6774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27239"/>
    <w:rsid w:val="00E32D27"/>
    <w:rsid w:val="00E37359"/>
    <w:rsid w:val="00E429F0"/>
    <w:rsid w:val="00E44F66"/>
    <w:rsid w:val="00E5051C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1034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2938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E27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72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E27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72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42811;fld=134;dst=100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7DED-C4DC-4192-BD0E-09998DDD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8215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2</cp:revision>
  <cp:lastPrinted>2018-11-07T07:08:00Z</cp:lastPrinted>
  <dcterms:created xsi:type="dcterms:W3CDTF">2022-11-15T11:49:00Z</dcterms:created>
  <dcterms:modified xsi:type="dcterms:W3CDTF">2022-11-15T11:49:00Z</dcterms:modified>
</cp:coreProperties>
</file>